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35ED8683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D47BF1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6FCA298" w14:textId="77777777" w:rsidR="00D47BF1" w:rsidRPr="00120DB8" w:rsidRDefault="00D47BF1" w:rsidP="00D47BF1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„Kroměříž – zlepšení kybernetické bezpečnosti infrastruktury – Pořízení a implementace nástrojů k zabezpečení sítě a uchovávání dat“</w:t>
      </w:r>
    </w:p>
    <w:p w14:paraId="2C6636B4" w14:textId="744E32B8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364088DF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6AD5" w14:textId="77777777" w:rsidR="00544EF6" w:rsidRDefault="00544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1D7FAB2A" w:rsidR="00A713F7" w:rsidRPr="00544EF6" w:rsidRDefault="00544EF6" w:rsidP="00A713F7">
    <w:pPr>
      <w:pStyle w:val="Textpoznpodarou"/>
      <w:rPr>
        <w:rFonts w:ascii="Arial Narrow" w:hAnsi="Arial Narrow"/>
        <w:lang w:val="cs-CZ"/>
      </w:rPr>
    </w:pPr>
    <w:r w:rsidRPr="00544EF6">
      <w:rPr>
        <w:rFonts w:ascii="Arial Narrow" w:hAnsi="Arial Narrow" w:cs="Arial"/>
        <w:b/>
        <w:i/>
        <w:highlight w:val="lightGray"/>
        <w:lang w:val="cs-CZ"/>
      </w:rPr>
      <w:t xml:space="preserve">Pozn. pro účastníky: </w:t>
    </w:r>
    <w:r w:rsidRPr="00544EF6">
      <w:rPr>
        <w:rFonts w:ascii="Arial Narrow" w:hAnsi="Arial Narrow" w:cs="Arial"/>
        <w:i/>
        <w:highlight w:val="lightGray"/>
        <w:lang w:val="cs-CZ"/>
      </w:rPr>
      <w:t>jedná se o doporučený vzor čestného prohlášení, které je použitelné pro všechny části shora uvedené veřejné zakázky. Odpovědnost za jeho použití nese účastník.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88D9" w14:textId="77777777" w:rsidR="00544EF6" w:rsidRDefault="00544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DCD3" w14:textId="77777777" w:rsidR="00544EF6" w:rsidRDefault="00544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D37E" w14:textId="77777777" w:rsidR="00544EF6" w:rsidRDefault="00544E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D8BF" w14:textId="77777777" w:rsidR="00544EF6" w:rsidRDefault="00544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51417D"/>
    <w:rsid w:val="00544EF6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A34F6"/>
    <w:rsid w:val="00CC5C06"/>
    <w:rsid w:val="00D24F8E"/>
    <w:rsid w:val="00D36528"/>
    <w:rsid w:val="00D47BF1"/>
    <w:rsid w:val="00DC0FF8"/>
    <w:rsid w:val="00DE1B74"/>
    <w:rsid w:val="00DE43D5"/>
    <w:rsid w:val="00E9187B"/>
    <w:rsid w:val="00EC4A7C"/>
    <w:rsid w:val="00F151A7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E8798-AD09-4047-B4EF-A4C55046059D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2.xml><?xml version="1.0" encoding="utf-8"?>
<ds:datastoreItem xmlns:ds="http://schemas.openxmlformats.org/officeDocument/2006/customXml" ds:itemID="{DC6EEE4B-9760-404E-8828-467D8EC9A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B4BA-753A-4705-91D0-1C8B3E0F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2025-05-22T19:32:00Z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