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C8E" w:rsidRPr="00E85470" w:rsidRDefault="00B82C8E" w:rsidP="00B82C8E">
      <w:pPr>
        <w:rPr>
          <w:rFonts w:cs="Arial"/>
          <w:szCs w:val="24"/>
        </w:rPr>
      </w:pPr>
      <w:r w:rsidRPr="00E85470">
        <w:rPr>
          <w:rFonts w:cs="Arial"/>
          <w:szCs w:val="24"/>
        </w:rPr>
        <w:t xml:space="preserve">Příloha č. </w:t>
      </w:r>
      <w:r w:rsidR="00D36D97">
        <w:rPr>
          <w:rFonts w:cs="Arial"/>
          <w:szCs w:val="24"/>
        </w:rPr>
        <w:t>6</w:t>
      </w:r>
      <w:bookmarkStart w:id="0" w:name="_GoBack"/>
      <w:bookmarkEnd w:id="0"/>
      <w:r w:rsidRPr="00E85470">
        <w:rPr>
          <w:rFonts w:cs="Arial"/>
          <w:szCs w:val="24"/>
        </w:rPr>
        <w:t xml:space="preserve"> zadávací dokumentace </w:t>
      </w:r>
    </w:p>
    <w:p w:rsidR="006A52FF" w:rsidRPr="00E85470" w:rsidRDefault="006A52FF" w:rsidP="00E25B3C">
      <w:pPr>
        <w:spacing w:line="240" w:lineRule="auto"/>
        <w:rPr>
          <w:rFonts w:cs="Arial"/>
          <w:b/>
          <w:sz w:val="28"/>
          <w:szCs w:val="28"/>
        </w:rPr>
      </w:pPr>
    </w:p>
    <w:p w:rsidR="006A52FF" w:rsidRPr="00E85470" w:rsidRDefault="00E25B3C" w:rsidP="00E25B3C">
      <w:pPr>
        <w:spacing w:after="200" w:line="240" w:lineRule="auto"/>
        <w:jc w:val="center"/>
        <w:rPr>
          <w:rFonts w:cs="Arial"/>
          <w:sz w:val="22"/>
          <w:szCs w:val="22"/>
        </w:rPr>
      </w:pPr>
      <w:r w:rsidRPr="00E85470">
        <w:rPr>
          <w:rFonts w:cs="Arial"/>
          <w:b/>
          <w:sz w:val="32"/>
          <w:szCs w:val="22"/>
        </w:rPr>
        <w:t xml:space="preserve">ČESTNÉ PROHLÁŠENÍ </w:t>
      </w:r>
      <w:r w:rsidR="00E85470">
        <w:rPr>
          <w:rFonts w:cs="Arial"/>
          <w:b/>
          <w:sz w:val="32"/>
          <w:szCs w:val="22"/>
        </w:rPr>
        <w:t>DODAVAT</w:t>
      </w:r>
      <w:r w:rsidRPr="00E85470">
        <w:rPr>
          <w:rFonts w:cs="Arial"/>
          <w:b/>
          <w:sz w:val="32"/>
          <w:szCs w:val="22"/>
        </w:rPr>
        <w:t>ELE K MEZINÁRODNÍM SANKCÍM PROTI RUSKU A BĚLORUSKU</w:t>
      </w:r>
    </w:p>
    <w:p w:rsidR="00B82C8E" w:rsidRPr="00E85470" w:rsidRDefault="00B82C8E" w:rsidP="00B82C8E">
      <w:pPr>
        <w:spacing w:after="200" w:line="240" w:lineRule="auto"/>
        <w:jc w:val="center"/>
        <w:rPr>
          <w:rFonts w:cs="Arial"/>
          <w:b/>
          <w:sz w:val="24"/>
          <w:szCs w:val="22"/>
        </w:rPr>
      </w:pPr>
      <w:r w:rsidRPr="00E85470">
        <w:rPr>
          <w:rFonts w:cs="Arial"/>
          <w:b/>
          <w:sz w:val="24"/>
          <w:szCs w:val="22"/>
        </w:rPr>
        <w:t>veřejné zakázky malého rozsahu na stavební práce s názvem:</w:t>
      </w:r>
    </w:p>
    <w:p w:rsidR="006A52FF" w:rsidRPr="00E85470" w:rsidRDefault="00B82C8E" w:rsidP="006A52FF">
      <w:pPr>
        <w:pStyle w:val="Textodstavce"/>
        <w:numPr>
          <w:ilvl w:val="0"/>
          <w:numId w:val="0"/>
        </w:numPr>
        <w:spacing w:before="0" w:after="0"/>
        <w:jc w:val="center"/>
        <w:rPr>
          <w:rFonts w:ascii="Arial" w:hAnsi="Arial" w:cs="Arial"/>
          <w:b/>
          <w:sz w:val="28"/>
          <w:szCs w:val="22"/>
          <w:lang w:eastAsia="ar-SA"/>
        </w:rPr>
      </w:pPr>
      <w:r w:rsidRPr="00E85470">
        <w:rPr>
          <w:rFonts w:ascii="Arial" w:hAnsi="Arial" w:cs="Arial"/>
          <w:b/>
          <w:sz w:val="28"/>
          <w:szCs w:val="22"/>
          <w:lang w:eastAsia="ar-SA"/>
        </w:rPr>
        <w:t>„</w:t>
      </w:r>
      <w:r w:rsidR="00E85470" w:rsidRPr="00E85470">
        <w:rPr>
          <w:rFonts w:ascii="Arial" w:hAnsi="Arial" w:cs="Arial"/>
          <w:b/>
          <w:sz w:val="28"/>
          <w:szCs w:val="22"/>
          <w:lang w:eastAsia="ar-SA"/>
        </w:rPr>
        <w:t>Domov pro seniory U Kašny – požárně bezpečnostní úpravy</w:t>
      </w:r>
      <w:r w:rsidRPr="00E85470">
        <w:rPr>
          <w:rFonts w:ascii="Arial" w:hAnsi="Arial" w:cs="Arial"/>
          <w:b/>
          <w:sz w:val="28"/>
          <w:szCs w:val="22"/>
          <w:lang w:eastAsia="ar-SA"/>
        </w:rPr>
        <w:t>“</w:t>
      </w:r>
    </w:p>
    <w:p w:rsidR="006A52FF" w:rsidRPr="00E85470" w:rsidRDefault="006A52FF" w:rsidP="00E25B3C">
      <w:pPr>
        <w:spacing w:after="100" w:line="240" w:lineRule="auto"/>
        <w:jc w:val="both"/>
        <w:rPr>
          <w:rFonts w:cs="Arial"/>
          <w:b/>
          <w:bCs/>
        </w:rPr>
      </w:pPr>
    </w:p>
    <w:p w:rsidR="00A5581D" w:rsidRPr="00E85470" w:rsidRDefault="00A5581D" w:rsidP="00A5581D">
      <w:pPr>
        <w:spacing w:after="100" w:line="240" w:lineRule="auto"/>
        <w:ind w:left="142"/>
        <w:jc w:val="both"/>
        <w:rPr>
          <w:rFonts w:cs="Arial"/>
          <w:sz w:val="21"/>
          <w:szCs w:val="21"/>
        </w:rPr>
      </w:pPr>
      <w:r w:rsidRPr="00E85470">
        <w:rPr>
          <w:rFonts w:cs="Arial"/>
          <w:b/>
          <w:bCs/>
          <w:sz w:val="21"/>
          <w:szCs w:val="21"/>
        </w:rPr>
        <w:t xml:space="preserve">Identifikační údaje – </w:t>
      </w:r>
      <w:r w:rsidR="00E85470">
        <w:rPr>
          <w:rFonts w:cs="Arial"/>
          <w:i/>
          <w:sz w:val="21"/>
          <w:szCs w:val="21"/>
        </w:rPr>
        <w:t>dodavatel</w:t>
      </w:r>
      <w:r w:rsidRPr="00E85470">
        <w:rPr>
          <w:rFonts w:cs="Arial"/>
          <w:i/>
          <w:sz w:val="21"/>
          <w:szCs w:val="21"/>
        </w:rPr>
        <w:t xml:space="preserve"> vyplní níže uvedenou tabulku údaji platnými ke dni podání nabídky: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976"/>
        <w:gridCol w:w="3261"/>
      </w:tblGrid>
      <w:tr w:rsidR="00A5581D" w:rsidRPr="00E85470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:rsidR="00A5581D" w:rsidRPr="00E85470" w:rsidRDefault="00A5581D">
            <w:pPr>
              <w:rPr>
                <w:rFonts w:cs="Arial"/>
                <w:b/>
                <w:sz w:val="22"/>
              </w:rPr>
            </w:pPr>
            <w:r w:rsidRPr="00E85470">
              <w:rPr>
                <w:rFonts w:cs="Arial"/>
                <w:b/>
                <w:sz w:val="22"/>
                <w:szCs w:val="22"/>
              </w:rPr>
              <w:t xml:space="preserve">Název </w:t>
            </w:r>
            <w:r w:rsidR="00E85470">
              <w:rPr>
                <w:rFonts w:cs="Arial"/>
                <w:b/>
                <w:sz w:val="22"/>
                <w:szCs w:val="22"/>
              </w:rPr>
              <w:t>dodavat</w:t>
            </w:r>
            <w:r w:rsidRPr="00E85470">
              <w:rPr>
                <w:rFonts w:cs="Arial"/>
                <w:b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:rsidR="00A5581D" w:rsidRPr="00E85470" w:rsidRDefault="009E071F">
            <w:pPr>
              <w:rPr>
                <w:rFonts w:cs="Arial"/>
                <w:b/>
                <w:sz w:val="22"/>
              </w:rPr>
            </w:pPr>
            <w:r w:rsidRPr="00E85470">
              <w:rPr>
                <w:rFonts w:cs="Arial"/>
                <w:b/>
                <w:sz w:val="22"/>
                <w:highlight w:val="yellow"/>
              </w:rPr>
              <w:t>……………….</w:t>
            </w:r>
          </w:p>
        </w:tc>
      </w:tr>
      <w:tr w:rsidR="00A5581D" w:rsidRPr="00E85470" w:rsidTr="00053730">
        <w:trPr>
          <w:trHeight w:val="392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:rsidR="00A5581D" w:rsidRPr="00E85470" w:rsidRDefault="00A5581D">
            <w:pPr>
              <w:rPr>
                <w:rFonts w:cs="Arial"/>
                <w:sz w:val="22"/>
              </w:rPr>
            </w:pPr>
            <w:r w:rsidRPr="00E85470">
              <w:rPr>
                <w:rFonts w:cs="Arial"/>
                <w:sz w:val="22"/>
                <w:szCs w:val="22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:rsidR="00A5581D" w:rsidRPr="00E85470" w:rsidRDefault="009E071F">
            <w:pPr>
              <w:rPr>
                <w:rFonts w:cs="Arial"/>
                <w:sz w:val="22"/>
              </w:rPr>
            </w:pPr>
            <w:r w:rsidRPr="00E85470">
              <w:rPr>
                <w:rFonts w:cs="Arial"/>
                <w:sz w:val="22"/>
                <w:highlight w:val="yellow"/>
              </w:rPr>
              <w:t>……………….</w:t>
            </w:r>
          </w:p>
        </w:tc>
      </w:tr>
      <w:tr w:rsidR="00A5581D" w:rsidRPr="00E85470" w:rsidTr="00053730">
        <w:trPr>
          <w:trHeight w:val="399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:rsidR="00A5581D" w:rsidRPr="00E85470" w:rsidRDefault="00A5581D">
            <w:pPr>
              <w:rPr>
                <w:rFonts w:cs="Arial"/>
                <w:sz w:val="22"/>
              </w:rPr>
            </w:pPr>
            <w:r w:rsidRPr="00E85470">
              <w:rPr>
                <w:rFonts w:cs="Arial"/>
                <w:sz w:val="22"/>
                <w:szCs w:val="22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:rsidR="00A5581D" w:rsidRPr="00E85470" w:rsidRDefault="009E071F">
            <w:pPr>
              <w:rPr>
                <w:rFonts w:cs="Arial"/>
                <w:sz w:val="22"/>
              </w:rPr>
            </w:pPr>
            <w:r w:rsidRPr="00E85470">
              <w:rPr>
                <w:rFonts w:cs="Arial"/>
                <w:sz w:val="22"/>
                <w:highlight w:val="yellow"/>
              </w:rPr>
              <w:t>……………….</w:t>
            </w:r>
          </w:p>
        </w:tc>
      </w:tr>
      <w:tr w:rsidR="00A5581D" w:rsidRPr="00E85470" w:rsidTr="00053730">
        <w:trPr>
          <w:trHeight w:val="390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:rsidR="00A5581D" w:rsidRPr="00E85470" w:rsidRDefault="00A5581D">
            <w:pPr>
              <w:rPr>
                <w:rFonts w:cs="Arial"/>
                <w:sz w:val="22"/>
              </w:rPr>
            </w:pPr>
            <w:r w:rsidRPr="00E85470">
              <w:rPr>
                <w:rFonts w:cs="Arial"/>
                <w:sz w:val="22"/>
                <w:szCs w:val="22"/>
              </w:rPr>
              <w:t>IČ / DIČ</w:t>
            </w:r>
          </w:p>
        </w:tc>
        <w:tc>
          <w:tcPr>
            <w:tcW w:w="2976" w:type="dxa"/>
            <w:vAlign w:val="center"/>
          </w:tcPr>
          <w:p w:rsidR="00A5581D" w:rsidRPr="00E85470" w:rsidRDefault="009E071F">
            <w:pPr>
              <w:rPr>
                <w:rFonts w:cs="Arial"/>
                <w:sz w:val="22"/>
              </w:rPr>
            </w:pPr>
            <w:r w:rsidRPr="00E85470">
              <w:rPr>
                <w:rFonts w:cs="Arial"/>
                <w:sz w:val="22"/>
                <w:highlight w:val="yellow"/>
              </w:rPr>
              <w:t>……………….</w:t>
            </w:r>
          </w:p>
        </w:tc>
        <w:tc>
          <w:tcPr>
            <w:tcW w:w="3261" w:type="dxa"/>
            <w:vAlign w:val="center"/>
          </w:tcPr>
          <w:p w:rsidR="00A5581D" w:rsidRPr="00E85470" w:rsidRDefault="009E071F">
            <w:pPr>
              <w:rPr>
                <w:rFonts w:cs="Arial"/>
                <w:sz w:val="22"/>
              </w:rPr>
            </w:pPr>
            <w:r w:rsidRPr="00E85470">
              <w:rPr>
                <w:rFonts w:cs="Arial"/>
                <w:sz w:val="22"/>
                <w:highlight w:val="yellow"/>
              </w:rPr>
              <w:t>……………….</w:t>
            </w:r>
          </w:p>
        </w:tc>
      </w:tr>
      <w:tr w:rsidR="00A5581D" w:rsidRPr="00E85470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:rsidR="00A5581D" w:rsidRPr="00E85470" w:rsidRDefault="00A5581D">
            <w:pPr>
              <w:rPr>
                <w:rFonts w:cs="Arial"/>
                <w:sz w:val="22"/>
              </w:rPr>
            </w:pPr>
            <w:r w:rsidRPr="00E85470">
              <w:rPr>
                <w:rFonts w:cs="Arial"/>
                <w:sz w:val="22"/>
                <w:szCs w:val="22"/>
              </w:rPr>
              <w:t>Jméno osoby oprávněné jednat jménem/za </w:t>
            </w:r>
            <w:r w:rsidR="00E85470">
              <w:rPr>
                <w:rFonts w:cs="Arial"/>
                <w:sz w:val="22"/>
                <w:szCs w:val="22"/>
              </w:rPr>
              <w:t>dodavat</w:t>
            </w:r>
            <w:r w:rsidRPr="00E85470">
              <w:rPr>
                <w:rFonts w:cs="Arial"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:rsidR="00A5581D" w:rsidRPr="00E85470" w:rsidRDefault="009E071F">
            <w:pPr>
              <w:rPr>
                <w:rFonts w:cs="Arial"/>
                <w:sz w:val="22"/>
              </w:rPr>
            </w:pPr>
            <w:r w:rsidRPr="00E85470">
              <w:rPr>
                <w:rFonts w:cs="Arial"/>
                <w:sz w:val="22"/>
                <w:highlight w:val="yellow"/>
              </w:rPr>
              <w:t>……………….</w:t>
            </w:r>
          </w:p>
        </w:tc>
      </w:tr>
    </w:tbl>
    <w:p w:rsidR="00E25B3C" w:rsidRPr="00E85470" w:rsidRDefault="00E25B3C" w:rsidP="00E25B3C">
      <w:pPr>
        <w:widowControl w:val="0"/>
        <w:spacing w:before="200" w:after="120" w:line="276" w:lineRule="auto"/>
        <w:rPr>
          <w:rFonts w:cs="Arial"/>
          <w:bCs/>
          <w:szCs w:val="22"/>
          <w:lang w:eastAsia="cs-CZ"/>
        </w:rPr>
      </w:pPr>
      <w:r w:rsidRPr="00E85470">
        <w:rPr>
          <w:rFonts w:cs="Arial"/>
          <w:bCs/>
          <w:szCs w:val="22"/>
        </w:rPr>
        <w:t>tímto ve vztahu ke shora nadepsané veřejné zakázce prohlašuje, že</w:t>
      </w:r>
    </w:p>
    <w:p w:rsidR="00E25B3C" w:rsidRPr="00E85470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eastAsia="Calibri" w:cs="Arial"/>
          <w:bCs/>
          <w:color w:val="000000" w:themeColor="text1"/>
          <w:szCs w:val="24"/>
        </w:rPr>
      </w:pPr>
      <w:r w:rsidRPr="00E85470">
        <w:rPr>
          <w:rFonts w:eastAsia="Calibri" w:cs="Arial"/>
          <w:bCs/>
          <w:color w:val="000000" w:themeColor="text1"/>
        </w:rPr>
        <w:t xml:space="preserve">on </w:t>
      </w:r>
      <w:r w:rsidRPr="00E85470">
        <w:rPr>
          <w:rFonts w:cs="Arial"/>
          <w:color w:val="000000" w:themeColor="text1"/>
        </w:rPr>
        <w:t xml:space="preserve">ani </w:t>
      </w:r>
      <w:bookmarkStart w:id="1" w:name="_Hlk101524639"/>
      <w:r w:rsidRPr="00E85470">
        <w:rPr>
          <w:rFonts w:cs="Arial"/>
          <w:color w:val="000000" w:themeColor="text1"/>
        </w:rPr>
        <w:t xml:space="preserve">kterýkoli z jeho poddodavatelů či jiných osob dle § 83 zákona č. 134/2016 Sb., o zadávání veřejných zakázek, ve znění pozdějších předpisů, který se bude podílet na plnění této veřejné zakázky v rozsahu více než 10 % </w:t>
      </w:r>
      <w:bookmarkEnd w:id="1"/>
      <w:r w:rsidRPr="00E85470">
        <w:rPr>
          <w:rFonts w:cs="Arial"/>
          <w:color w:val="000000" w:themeColor="text1"/>
        </w:rPr>
        <w:t>nabídkové ceny,</w:t>
      </w:r>
    </w:p>
    <w:p w:rsidR="00E25B3C" w:rsidRPr="00E85470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eastAsia="Calibri" w:cs="Arial"/>
          <w:bCs/>
          <w:color w:val="000000" w:themeColor="text1"/>
        </w:rPr>
      </w:pPr>
      <w:r w:rsidRPr="00E85470">
        <w:rPr>
          <w:rFonts w:cs="Arial"/>
          <w:color w:val="000000" w:themeColor="text1"/>
        </w:rPr>
        <w:t>není ruským státním příslušníkem, fyzickou či právnickou osobou nebo subjektem či orgánem se sídlem v Rusku,</w:t>
      </w:r>
    </w:p>
    <w:p w:rsidR="00E25B3C" w:rsidRPr="00E85470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eastAsia="Calibri" w:cs="Arial"/>
          <w:bCs/>
          <w:color w:val="000000" w:themeColor="text1"/>
        </w:rPr>
      </w:pPr>
      <w:r w:rsidRPr="00E85470">
        <w:rPr>
          <w:rFonts w:cs="Arial"/>
          <w:color w:val="000000" w:themeColor="text1"/>
        </w:rPr>
        <w:t>není z více než 50 % přímo či nepřímo vlastněn některým ze subjektů uvedených v písmeni a), ani</w:t>
      </w:r>
    </w:p>
    <w:p w:rsidR="00E25B3C" w:rsidRPr="00E85470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eastAsia="Calibri" w:cs="Arial"/>
          <w:bCs/>
          <w:color w:val="000000" w:themeColor="text1"/>
        </w:rPr>
      </w:pPr>
      <w:r w:rsidRPr="00E85470">
        <w:rPr>
          <w:rFonts w:cs="Arial"/>
          <w:color w:val="000000" w:themeColor="text1"/>
        </w:rPr>
        <w:t>nejedná jménem nebo na pokyn některého ze subjektů uvedených v písmeni a) nebo b).</w:t>
      </w:r>
    </w:p>
    <w:p w:rsidR="00E25B3C" w:rsidRPr="00E85470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cs="Arial"/>
          <w:bCs/>
          <w:color w:val="000000" w:themeColor="text1"/>
        </w:rPr>
      </w:pPr>
      <w:r w:rsidRPr="00E85470">
        <w:rPr>
          <w:rFonts w:cs="Arial"/>
          <w:bCs/>
          <w:color w:val="000000" w:themeColor="text1"/>
        </w:rPr>
        <w:t xml:space="preserve">není osobou </w:t>
      </w:r>
      <w:r w:rsidRPr="00E85470">
        <w:rPr>
          <w:rFonts w:cs="Arial"/>
          <w:color w:val="000000" w:themeColor="text1"/>
        </w:rPr>
        <w:t xml:space="preserve">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</w:t>
      </w:r>
      <w:r w:rsidRPr="00E85470">
        <w:rPr>
          <w:rFonts w:eastAsia="Calibri" w:cs="Arial"/>
          <w:color w:val="000000" w:themeColor="text1"/>
        </w:rPr>
        <w:t>nařízení Rady (ES) č. 765/2006 ze dne 18. května 2006 o omezujících opatřeních vůči prezidentu Lukašenkovi a některým představitelům Běloruska (ve znění pozdějších aktualizací)</w:t>
      </w:r>
      <w:r w:rsidRPr="00E85470">
        <w:rPr>
          <w:rFonts w:eastAsia="Calibri" w:cs="Arial"/>
          <w:color w:val="000000" w:themeColor="text1"/>
          <w:vertAlign w:val="superscript"/>
        </w:rPr>
        <w:footnoteReference w:id="1"/>
      </w:r>
      <w:r w:rsidRPr="00E85470">
        <w:rPr>
          <w:rFonts w:eastAsia="Calibri" w:cs="Arial"/>
          <w:color w:val="000000" w:themeColor="text1"/>
        </w:rPr>
        <w:t>.</w:t>
      </w:r>
    </w:p>
    <w:p w:rsidR="00E25B3C" w:rsidRPr="00E85470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cs="Arial"/>
          <w:bCs/>
        </w:rPr>
      </w:pPr>
      <w:r w:rsidRPr="00E85470">
        <w:rPr>
          <w:rFonts w:cs="Arial"/>
          <w:color w:val="000000" w:themeColor="text1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 sankčním seznamu v příloze nařízení Rady (EU) č. 269/2014 ze dne 17. března 2014, o omezujících opatřeních vzhledem k činnostem narušujícím nebo ohrožujícím územní celistvost, svrchovanost a nezávislost Ukrajiny (ve znění pozdějších aktualizací) nebo </w:t>
      </w:r>
      <w:r w:rsidRPr="00E85470">
        <w:rPr>
          <w:rFonts w:eastAsia="Calibri" w:cs="Arial"/>
          <w:color w:val="000000" w:themeColor="text1"/>
        </w:rPr>
        <w:t>nařízení Rady (ES) č. 765/2006 ze dne 18. května 2006 o omezujících opatřeních vůči prezidentu Lukašenkovi a některým představitelům Běloruska (ve znění pozdějších aktualizací).</w:t>
      </w:r>
    </w:p>
    <w:p w:rsidR="00E25B3C" w:rsidRPr="00E85470" w:rsidRDefault="00E25B3C" w:rsidP="00A5581D">
      <w:pPr>
        <w:widowControl w:val="0"/>
        <w:tabs>
          <w:tab w:val="left" w:pos="851"/>
          <w:tab w:val="left" w:pos="1021"/>
        </w:tabs>
        <w:rPr>
          <w:rFonts w:cs="Arial"/>
          <w:sz w:val="22"/>
          <w:szCs w:val="22"/>
        </w:rPr>
      </w:pPr>
    </w:p>
    <w:p w:rsidR="006A52FF" w:rsidRDefault="00A5581D" w:rsidP="006A52FF">
      <w:pPr>
        <w:widowControl w:val="0"/>
        <w:tabs>
          <w:tab w:val="left" w:pos="851"/>
          <w:tab w:val="left" w:pos="1021"/>
        </w:tabs>
        <w:rPr>
          <w:rFonts w:cs="Arial"/>
          <w:sz w:val="22"/>
          <w:szCs w:val="22"/>
        </w:rPr>
      </w:pPr>
      <w:r w:rsidRPr="00E85470">
        <w:rPr>
          <w:rFonts w:cs="Arial"/>
          <w:sz w:val="22"/>
          <w:szCs w:val="22"/>
        </w:rPr>
        <w:t>V …………………… dne …………… 202</w:t>
      </w:r>
      <w:r w:rsidR="008164A3" w:rsidRPr="00E85470">
        <w:rPr>
          <w:rFonts w:cs="Arial"/>
          <w:sz w:val="22"/>
          <w:szCs w:val="22"/>
        </w:rPr>
        <w:t>5</w:t>
      </w:r>
      <w:r w:rsidRPr="00E85470">
        <w:rPr>
          <w:rFonts w:cs="Arial"/>
          <w:sz w:val="22"/>
          <w:szCs w:val="22"/>
        </w:rPr>
        <w:tab/>
      </w:r>
      <w:r w:rsidRPr="00E85470">
        <w:rPr>
          <w:rFonts w:cs="Arial"/>
          <w:sz w:val="22"/>
          <w:szCs w:val="22"/>
        </w:rPr>
        <w:tab/>
      </w:r>
    </w:p>
    <w:p w:rsidR="00E85470" w:rsidRDefault="00E85470" w:rsidP="006A52FF">
      <w:pPr>
        <w:widowControl w:val="0"/>
        <w:tabs>
          <w:tab w:val="left" w:pos="851"/>
          <w:tab w:val="left" w:pos="1021"/>
        </w:tabs>
        <w:rPr>
          <w:rFonts w:cs="Arial"/>
          <w:sz w:val="22"/>
          <w:szCs w:val="22"/>
        </w:rPr>
      </w:pPr>
    </w:p>
    <w:p w:rsidR="00E85470" w:rsidRPr="00E85470" w:rsidRDefault="00E85470" w:rsidP="006A52FF">
      <w:pPr>
        <w:widowControl w:val="0"/>
        <w:tabs>
          <w:tab w:val="left" w:pos="851"/>
          <w:tab w:val="left" w:pos="1021"/>
        </w:tabs>
        <w:rPr>
          <w:rFonts w:cs="Arial"/>
          <w:sz w:val="22"/>
          <w:szCs w:val="22"/>
        </w:rPr>
      </w:pPr>
    </w:p>
    <w:p w:rsidR="00A5581D" w:rsidRPr="00E85470" w:rsidRDefault="00A5581D" w:rsidP="00E25B3C">
      <w:pPr>
        <w:widowControl w:val="0"/>
        <w:tabs>
          <w:tab w:val="left" w:pos="851"/>
          <w:tab w:val="left" w:pos="1021"/>
        </w:tabs>
        <w:jc w:val="right"/>
        <w:rPr>
          <w:rFonts w:cs="Arial"/>
          <w:sz w:val="22"/>
          <w:szCs w:val="22"/>
        </w:rPr>
      </w:pPr>
      <w:r w:rsidRPr="00E85470">
        <w:rPr>
          <w:rFonts w:cs="Arial"/>
          <w:sz w:val="22"/>
          <w:szCs w:val="22"/>
        </w:rPr>
        <w:t>…………………………………………</w:t>
      </w:r>
    </w:p>
    <w:p w:rsidR="00A5581D" w:rsidRPr="00E85470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cs="Arial"/>
          <w:sz w:val="22"/>
          <w:szCs w:val="22"/>
          <w:highlight w:val="yellow"/>
        </w:rPr>
      </w:pPr>
      <w:r w:rsidRPr="00E85470">
        <w:rPr>
          <w:rFonts w:cs="Arial"/>
          <w:sz w:val="22"/>
          <w:szCs w:val="22"/>
          <w:highlight w:val="yellow"/>
        </w:rPr>
        <w:t>Identifikace a podpis</w:t>
      </w:r>
    </w:p>
    <w:p w:rsidR="009F636E" w:rsidRPr="00E85470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cs="Arial"/>
          <w:sz w:val="22"/>
          <w:szCs w:val="22"/>
        </w:rPr>
      </w:pPr>
      <w:r w:rsidRPr="00E85470">
        <w:rPr>
          <w:rFonts w:cs="Arial"/>
          <w:sz w:val="22"/>
          <w:szCs w:val="22"/>
          <w:highlight w:val="yellow"/>
        </w:rPr>
        <w:t xml:space="preserve">oprávněné osoby </w:t>
      </w:r>
      <w:r w:rsidR="00E85470">
        <w:rPr>
          <w:rFonts w:cs="Arial"/>
          <w:sz w:val="22"/>
          <w:szCs w:val="22"/>
          <w:highlight w:val="yellow"/>
        </w:rPr>
        <w:t>dodavat</w:t>
      </w:r>
      <w:r w:rsidRPr="00E85470">
        <w:rPr>
          <w:rFonts w:cs="Arial"/>
          <w:sz w:val="22"/>
          <w:szCs w:val="22"/>
          <w:highlight w:val="yellow"/>
        </w:rPr>
        <w:t>ele</w:t>
      </w:r>
    </w:p>
    <w:sectPr w:rsidR="009F636E" w:rsidRPr="00E85470" w:rsidSect="00E85470">
      <w:footerReference w:type="default" r:id="rId7"/>
      <w:headerReference w:type="first" r:id="rId8"/>
      <w:footerReference w:type="first" r:id="rId9"/>
      <w:pgSz w:w="11906" w:h="16838" w:code="9"/>
      <w:pgMar w:top="851" w:right="1276" w:bottom="1134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645" w:rsidRDefault="006C4645" w:rsidP="006C4645">
      <w:pPr>
        <w:spacing w:line="240" w:lineRule="auto"/>
      </w:pPr>
      <w:r>
        <w:separator/>
      </w:r>
    </w:p>
  </w:endnote>
  <w:endnote w:type="continuationSeparator" w:id="0">
    <w:p w:rsidR="006C4645" w:rsidRDefault="006C4645" w:rsidP="006C4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11320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B0646" w:rsidRDefault="00D36D97" w:rsidP="00587C53">
            <w:pPr>
              <w:pStyle w:val="Zpat"/>
              <w:rPr>
                <w:noProof/>
              </w:rPr>
            </w:pPr>
          </w:p>
          <w:p w:rsidR="006B0646" w:rsidRDefault="00D36D97">
            <w:pPr>
              <w:pStyle w:val="Zpat"/>
              <w:jc w:val="right"/>
              <w:rPr>
                <w:noProof/>
              </w:rPr>
            </w:pPr>
          </w:p>
          <w:p w:rsidR="00FD0C41" w:rsidRDefault="00D36D97">
            <w:pPr>
              <w:pStyle w:val="Zpat"/>
              <w:jc w:val="right"/>
            </w:pPr>
          </w:p>
        </w:sdtContent>
      </w:sdt>
    </w:sdtContent>
  </w:sdt>
  <w:p w:rsidR="00BC390A" w:rsidRDefault="00D36D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645" w:rsidRDefault="006C4645" w:rsidP="006C4645">
    <w:pPr>
      <w:pStyle w:val="Zpat"/>
      <w:rPr>
        <w:noProof/>
      </w:rPr>
    </w:pPr>
  </w:p>
  <w:p w:rsidR="006C4645" w:rsidRDefault="006C46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645" w:rsidRDefault="006C4645" w:rsidP="006C4645">
      <w:pPr>
        <w:spacing w:line="240" w:lineRule="auto"/>
      </w:pPr>
      <w:r>
        <w:separator/>
      </w:r>
    </w:p>
  </w:footnote>
  <w:footnote w:type="continuationSeparator" w:id="0">
    <w:p w:rsidR="006C4645" w:rsidRDefault="006C4645" w:rsidP="006C4645">
      <w:pPr>
        <w:spacing w:line="240" w:lineRule="auto"/>
      </w:pPr>
      <w:r>
        <w:continuationSeparator/>
      </w:r>
    </w:p>
  </w:footnote>
  <w:footnote w:id="1">
    <w:p w:rsidR="00E25B3C" w:rsidRDefault="00E25B3C" w:rsidP="00E25B3C">
      <w:pPr>
        <w:pStyle w:val="Textpoznpodarou"/>
        <w:spacing w:before="120"/>
        <w:rPr>
          <w:rFonts w:ascii="Verdana" w:hAnsi="Verdana" w:cs="Segoe UI"/>
          <w:i/>
          <w:iCs/>
          <w:sz w:val="16"/>
          <w:szCs w:val="16"/>
        </w:rPr>
      </w:pPr>
      <w:r>
        <w:rPr>
          <w:rStyle w:val="Znakapoznpodarou"/>
          <w:rFonts w:ascii="Verdana" w:hAnsi="Verdana" w:cs="Segoe UI"/>
          <w:i/>
          <w:iCs/>
          <w:sz w:val="16"/>
          <w:szCs w:val="16"/>
        </w:rPr>
        <w:footnoteRef/>
      </w:r>
      <w:r>
        <w:rPr>
          <w:rFonts w:ascii="Verdana" w:hAnsi="Verdana" w:cs="Segoe UI"/>
          <w:i/>
          <w:iCs/>
          <w:sz w:val="16"/>
          <w:szCs w:val="16"/>
        </w:rPr>
        <w:t xml:space="preserve"> Aktualizovaný seznam sankcionovaných osob je uveden například na internetových stránkách Finančního analytického úřadu zde </w:t>
      </w:r>
      <w:hyperlink r:id="rId1" w:anchor="rusko-seznam-sankcionovanych-osob" w:history="1">
        <w:r>
          <w:rPr>
            <w:rStyle w:val="Hypertextovodkaz"/>
            <w:rFonts w:ascii="Verdana" w:hAnsi="Verdana" w:cs="Segoe UI"/>
            <w:i/>
            <w:iCs/>
            <w:sz w:val="16"/>
            <w:szCs w:val="16"/>
          </w:rPr>
          <w:t>https://www.financnianalytickyurad.cz/povinne-osoby-dle-zakona-c-2532008-sb#rusko-seznam-sankcionovanych-osob</w:t>
        </w:r>
      </w:hyperlink>
      <w:r>
        <w:rPr>
          <w:rFonts w:ascii="Verdana" w:hAnsi="Verdana" w:cs="Segoe UI"/>
          <w:i/>
          <w:iCs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FEB" w:rsidRDefault="006C4645" w:rsidP="002E3EE6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A0639F"/>
    <w:multiLevelType w:val="multilevel"/>
    <w:tmpl w:val="260E5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D767C70"/>
    <w:multiLevelType w:val="multilevel"/>
    <w:tmpl w:val="4D088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F4811"/>
    <w:multiLevelType w:val="hybridMultilevel"/>
    <w:tmpl w:val="D7E62072"/>
    <w:lvl w:ilvl="0" w:tplc="2CE01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956C7"/>
    <w:multiLevelType w:val="hybridMultilevel"/>
    <w:tmpl w:val="B5D8BAAC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7BA713FC"/>
    <w:multiLevelType w:val="multilevel"/>
    <w:tmpl w:val="022A6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45"/>
    <w:rsid w:val="00053730"/>
    <w:rsid w:val="00177388"/>
    <w:rsid w:val="00667EE3"/>
    <w:rsid w:val="006A52FF"/>
    <w:rsid w:val="006C4645"/>
    <w:rsid w:val="00710D5D"/>
    <w:rsid w:val="00786C67"/>
    <w:rsid w:val="008164A3"/>
    <w:rsid w:val="00834B39"/>
    <w:rsid w:val="0085303F"/>
    <w:rsid w:val="00923785"/>
    <w:rsid w:val="009E071F"/>
    <w:rsid w:val="009F636E"/>
    <w:rsid w:val="00A5581D"/>
    <w:rsid w:val="00A56965"/>
    <w:rsid w:val="00B82C8E"/>
    <w:rsid w:val="00D364F0"/>
    <w:rsid w:val="00D36D97"/>
    <w:rsid w:val="00E25B3C"/>
    <w:rsid w:val="00E32544"/>
    <w:rsid w:val="00E8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80765C1"/>
  <w15:chartTrackingRefBased/>
  <w15:docId w15:val="{AD504F00-1E07-46A5-BE68-223672E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6C67"/>
    <w:pPr>
      <w:suppressAutoHyphens/>
      <w:spacing w:after="0" w:line="280" w:lineRule="exact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645"/>
  </w:style>
  <w:style w:type="paragraph" w:styleId="Zpat">
    <w:name w:val="footer"/>
    <w:basedOn w:val="Normln"/>
    <w:link w:val="Zpat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645"/>
  </w:style>
  <w:style w:type="table" w:styleId="Mkatabulky">
    <w:name w:val="Table Grid"/>
    <w:basedOn w:val="Normlntabulka"/>
    <w:uiPriority w:val="39"/>
    <w:rsid w:val="006C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C4645"/>
    <w:rPr>
      <w:color w:val="0000FF"/>
      <w:u w:val="single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,Bullet Number"/>
    <w:basedOn w:val="Normln"/>
    <w:link w:val="OdstavecseseznamemChar"/>
    <w:uiPriority w:val="34"/>
    <w:qFormat/>
    <w:rsid w:val="006C4645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786C67"/>
    <w:pPr>
      <w:suppressAutoHyphens w:val="0"/>
      <w:spacing w:after="12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86C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B82C8E"/>
    <w:pPr>
      <w:numPr>
        <w:ilvl w:val="1"/>
        <w:numId w:val="6"/>
      </w:numPr>
      <w:suppressAutoHyphens w:val="0"/>
      <w:spacing w:line="240" w:lineRule="auto"/>
      <w:jc w:val="both"/>
      <w:outlineLvl w:val="7"/>
    </w:pPr>
    <w:rPr>
      <w:rFonts w:ascii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B82C8E"/>
    <w:pPr>
      <w:numPr>
        <w:numId w:val="6"/>
      </w:numPr>
      <w:tabs>
        <w:tab w:val="left" w:pos="851"/>
      </w:tabs>
      <w:suppressAutoHyphens w:val="0"/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5B3C"/>
    <w:pPr>
      <w:suppressAutoHyphens w:val="0"/>
      <w:spacing w:line="240" w:lineRule="auto"/>
      <w:jc w:val="both"/>
    </w:pPr>
    <w:rPr>
      <w:rFonts w:ascii="Garamond" w:hAnsi="Garamond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5B3C"/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E25B3C"/>
    <w:rPr>
      <w:rFonts w:ascii="Arial" w:eastAsia="Times New Roman" w:hAnsi="Arial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E25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povinne-osoby-dle-zakona-c-2532008-sb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Kováčiková Mária</cp:lastModifiedBy>
  <cp:revision>8</cp:revision>
  <dcterms:created xsi:type="dcterms:W3CDTF">2024-04-29T15:00:00Z</dcterms:created>
  <dcterms:modified xsi:type="dcterms:W3CDTF">2025-04-29T15:19:00Z</dcterms:modified>
</cp:coreProperties>
</file>