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410E77B4" w:rsidR="00704BEA" w:rsidRPr="00C673CD" w:rsidRDefault="00704BEA" w:rsidP="0016705E">
      <w:pPr>
        <w:pStyle w:val="Zkladntext"/>
        <w:spacing w:before="120"/>
        <w:contextualSpacing/>
        <w:jc w:val="center"/>
        <w:rPr>
          <w:rFonts w:cs="Arial"/>
          <w:b/>
          <w:szCs w:val="28"/>
        </w:rPr>
      </w:pPr>
      <w:r w:rsidRPr="00C673CD">
        <w:rPr>
          <w:rFonts w:cs="Arial"/>
          <w:b/>
          <w:szCs w:val="28"/>
        </w:rPr>
        <w:t>na zhotovení stavby na akci „</w:t>
      </w:r>
      <w:r w:rsidR="0016705E" w:rsidRPr="0016705E">
        <w:rPr>
          <w:rFonts w:cs="Arial"/>
          <w:b/>
          <w:bCs/>
          <w:szCs w:val="24"/>
        </w:rPr>
        <w:t>Udržovací práce – jídelna ZŠ Slovan, Zeyerova 3354, Kroměříž</w:t>
      </w:r>
      <w:r w:rsidR="006A790E" w:rsidRPr="0016705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57EB7C3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00A46A0F" w14:textId="192F58B6" w:rsidR="006F5194" w:rsidRPr="000C3A44" w:rsidRDefault="000C3A44" w:rsidP="00654D89">
      <w:pPr>
        <w:pStyle w:val="Obsah1"/>
        <w:spacing w:before="120"/>
        <w:ind w:left="3545"/>
        <w:contextualSpacing/>
        <w:rPr>
          <w:rFonts w:ascii="Arial" w:hAnsi="Arial" w:cs="Arial"/>
          <w:sz w:val="20"/>
          <w:szCs w:val="22"/>
        </w:rPr>
      </w:pPr>
      <w:r>
        <w:rPr>
          <w:rFonts w:ascii="Arial" w:hAnsi="Arial" w:cs="Arial"/>
          <w:sz w:val="20"/>
          <w:szCs w:val="22"/>
        </w:rPr>
        <w:t>Jaroslav Pajgr,</w:t>
      </w:r>
      <w:r w:rsidR="00736138" w:rsidRPr="000C3A44">
        <w:rPr>
          <w:rFonts w:ascii="Arial" w:hAnsi="Arial" w:cs="Arial"/>
          <w:sz w:val="20"/>
          <w:szCs w:val="22"/>
        </w:rPr>
        <w:t xml:space="preserve"> </w:t>
      </w:r>
      <w:r>
        <w:rPr>
          <w:rFonts w:ascii="Arial" w:hAnsi="Arial" w:cs="Arial"/>
          <w:sz w:val="20"/>
          <w:szCs w:val="22"/>
        </w:rPr>
        <w:t>příprava a realizace investic</w:t>
      </w:r>
      <w:r w:rsidR="00736138" w:rsidRPr="000C3A44">
        <w:rPr>
          <w:rFonts w:ascii="Arial" w:hAnsi="Arial" w:cs="Arial"/>
          <w:sz w:val="20"/>
          <w:szCs w:val="22"/>
        </w:rPr>
        <w:t xml:space="preserve"> </w:t>
      </w:r>
      <w:r w:rsidR="006F5194" w:rsidRPr="000C3A44">
        <w:rPr>
          <w:rFonts w:ascii="Arial" w:hAnsi="Arial" w:cs="Arial"/>
          <w:sz w:val="20"/>
          <w:szCs w:val="22"/>
        </w:rPr>
        <w:t xml:space="preserve">Odboru investic </w:t>
      </w:r>
    </w:p>
    <w:p w14:paraId="3E8576B9" w14:textId="7A9563CD" w:rsidR="00736138" w:rsidRPr="00DD0934" w:rsidRDefault="006F5194" w:rsidP="00654D89">
      <w:pPr>
        <w:pStyle w:val="Obsah1"/>
        <w:spacing w:before="120"/>
        <w:ind w:left="3545"/>
        <w:contextualSpacing/>
        <w:rPr>
          <w:rFonts w:ascii="Arial" w:hAnsi="Arial" w:cs="Arial"/>
          <w:sz w:val="20"/>
          <w:szCs w:val="22"/>
          <w:highlight w:val="lightGray"/>
        </w:rPr>
      </w:pPr>
      <w:r w:rsidRPr="000C3A44">
        <w:rPr>
          <w:rFonts w:ascii="Arial" w:hAnsi="Arial" w:cs="Arial"/>
          <w:sz w:val="20"/>
          <w:szCs w:val="22"/>
        </w:rPr>
        <w:t>(+420</w:t>
      </w:r>
      <w:r w:rsidR="000C3A44">
        <w:rPr>
          <w:rFonts w:ascii="Arial" w:hAnsi="Arial" w:cs="Arial"/>
          <w:sz w:val="20"/>
          <w:szCs w:val="22"/>
        </w:rPr>
        <w:t> 727 915 262</w:t>
      </w:r>
      <w:r w:rsidRPr="000C3A44">
        <w:rPr>
          <w:rFonts w:ascii="Arial" w:hAnsi="Arial" w:cs="Arial"/>
          <w:sz w:val="20"/>
          <w:szCs w:val="22"/>
        </w:rPr>
        <w:t xml:space="preserve">; </w:t>
      </w:r>
      <w:hyperlink r:id="rId9" w:history="1">
        <w:r w:rsidR="000C3A44" w:rsidRPr="008E2A79">
          <w:rPr>
            <w:rStyle w:val="Hypertextovodkaz"/>
            <w:rFonts w:ascii="Arial" w:hAnsi="Arial" w:cs="Arial"/>
            <w:sz w:val="20"/>
            <w:szCs w:val="22"/>
          </w:rPr>
          <w:t>jaroslav.pajgr@mestokm.cz</w:t>
        </w:r>
      </w:hyperlink>
      <w:r w:rsidR="00736138" w:rsidRPr="00DD0934">
        <w:rPr>
          <w:rFonts w:ascii="Arial" w:hAnsi="Arial" w:cs="Arial"/>
          <w:sz w:val="20"/>
          <w:szCs w:val="22"/>
          <w:highlight w:val="lightGray"/>
        </w:rPr>
        <w:t>)</w:t>
      </w:r>
    </w:p>
    <w:p w14:paraId="212876AB" w14:textId="77777777" w:rsidR="00BC0916" w:rsidRDefault="00BC0916" w:rsidP="00BC0916">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14EF1E54" w14:textId="746C037D" w:rsidR="00FC725D" w:rsidRPr="008A32C7" w:rsidRDefault="00D27420" w:rsidP="00FC725D">
      <w:pPr>
        <w:pBdr>
          <w:bottom w:val="single" w:sz="12" w:space="1" w:color="auto"/>
        </w:pBdr>
        <w:ind w:firstLine="708"/>
        <w:jc w:val="center"/>
        <w:rPr>
          <w:rFonts w:ascii="Arial" w:hAnsi="Arial" w:cs="Arial"/>
          <w:b/>
          <w:bCs/>
          <w:sz w:val="24"/>
          <w:szCs w:val="24"/>
          <w:lang w:eastAsia="x-none"/>
        </w:rPr>
      </w:pPr>
      <w:r w:rsidRPr="00C673CD">
        <w:rPr>
          <w:rFonts w:ascii="Arial" w:hAnsi="Arial" w:cs="Arial"/>
          <w:szCs w:val="22"/>
        </w:rPr>
        <w:t xml:space="preserve">Tato smlouva je uzavírána smluvními stranami na </w:t>
      </w:r>
      <w:r w:rsidRPr="006E27EA">
        <w:rPr>
          <w:rFonts w:ascii="Arial" w:hAnsi="Arial"/>
        </w:rPr>
        <w:t>základě výsledku veřejné zakázky</w:t>
      </w:r>
      <w:r w:rsidR="00247A96">
        <w:rPr>
          <w:rFonts w:ascii="Arial" w:hAnsi="Arial"/>
        </w:rPr>
        <w:t xml:space="preserve"> </w:t>
      </w:r>
      <w:r w:rsidRPr="006E27EA">
        <w:rPr>
          <w:rFonts w:ascii="Arial" w:hAnsi="Arial"/>
        </w:rPr>
        <w:t>nazvané</w:t>
      </w:r>
      <w:r w:rsidRPr="00C673CD">
        <w:rPr>
          <w:rFonts w:ascii="Arial" w:hAnsi="Arial" w:cs="Arial"/>
          <w:szCs w:val="22"/>
        </w:rPr>
        <w:t xml:space="preserve"> </w:t>
      </w:r>
      <w:proofErr w:type="gramStart"/>
      <w:r w:rsidRPr="00C673CD">
        <w:rPr>
          <w:rFonts w:ascii="Arial" w:hAnsi="Arial" w:cs="Arial"/>
          <w:szCs w:val="22"/>
        </w:rPr>
        <w:t>„</w:t>
      </w:r>
      <w:r w:rsidR="00FC725D" w:rsidRPr="00FC725D">
        <w:rPr>
          <w:b/>
          <w:bCs/>
          <w:sz w:val="36"/>
          <w:szCs w:val="36"/>
          <w:lang w:eastAsia="x-none"/>
        </w:rPr>
        <w:t xml:space="preserve"> </w:t>
      </w:r>
      <w:r w:rsidR="00FC725D" w:rsidRPr="008A32C7">
        <w:rPr>
          <w:rFonts w:ascii="Arial" w:hAnsi="Arial" w:cs="Arial"/>
          <w:b/>
          <w:bCs/>
          <w:sz w:val="24"/>
          <w:szCs w:val="24"/>
          <w:lang w:eastAsia="x-none"/>
        </w:rPr>
        <w:t>Udržovací</w:t>
      </w:r>
      <w:proofErr w:type="gramEnd"/>
      <w:r w:rsidR="00FC725D" w:rsidRPr="008A32C7">
        <w:rPr>
          <w:rFonts w:ascii="Arial" w:hAnsi="Arial" w:cs="Arial"/>
          <w:b/>
          <w:bCs/>
          <w:sz w:val="24"/>
          <w:szCs w:val="24"/>
          <w:lang w:eastAsia="x-none"/>
        </w:rPr>
        <w:t xml:space="preserve"> práce - jídelna ZŠ Slovan</w:t>
      </w:r>
    </w:p>
    <w:p w14:paraId="346B43C6" w14:textId="061C9B98" w:rsidR="00FC725D" w:rsidRPr="008A32C7" w:rsidRDefault="00FC725D" w:rsidP="00FC725D">
      <w:pPr>
        <w:pBdr>
          <w:bottom w:val="single" w:sz="12" w:space="1" w:color="auto"/>
        </w:pBdr>
        <w:ind w:firstLine="708"/>
        <w:jc w:val="center"/>
        <w:rPr>
          <w:rFonts w:ascii="Arial" w:hAnsi="Arial" w:cs="Arial"/>
          <w:b/>
          <w:sz w:val="24"/>
          <w:szCs w:val="24"/>
        </w:rPr>
      </w:pPr>
      <w:r w:rsidRPr="008A32C7">
        <w:rPr>
          <w:rFonts w:ascii="Arial" w:hAnsi="Arial" w:cs="Arial"/>
          <w:b/>
          <w:bCs/>
          <w:sz w:val="24"/>
          <w:szCs w:val="24"/>
          <w:lang w:eastAsia="x-none"/>
        </w:rPr>
        <w:t>Zeyerova 3354, Kroměříž</w:t>
      </w:r>
    </w:p>
    <w:p w14:paraId="09D80F5F" w14:textId="7898B1EF"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dle směrnice 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2F49673C"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w:t>
      </w:r>
      <w:r w:rsidR="009D24F2">
        <w:rPr>
          <w:szCs w:val="22"/>
        </w:rPr>
        <w:t xml:space="preserve"> (dále jen „PDPS“)</w:t>
      </w:r>
      <w:r>
        <w:rPr>
          <w:szCs w:val="22"/>
        </w:rPr>
        <w:t>, zpracovan</w:t>
      </w:r>
      <w:r w:rsidR="006E27EA">
        <w:rPr>
          <w:szCs w:val="22"/>
        </w:rPr>
        <w:t>ou</w:t>
      </w:r>
      <w:r>
        <w:rPr>
          <w:szCs w:val="22"/>
        </w:rPr>
        <w:t xml:space="preserve"> </w:t>
      </w:r>
      <w:r w:rsidR="00734366">
        <w:rPr>
          <w:szCs w:val="22"/>
        </w:rPr>
        <w:t xml:space="preserve">projektantem </w:t>
      </w:r>
      <w:r w:rsidR="00FF6D86" w:rsidRPr="00B9227C">
        <w:rPr>
          <w:szCs w:val="22"/>
        </w:rPr>
        <w:t xml:space="preserve">Ing. Jan </w:t>
      </w:r>
      <w:proofErr w:type="spellStart"/>
      <w:r w:rsidR="00FF6D86" w:rsidRPr="00B9227C">
        <w:rPr>
          <w:szCs w:val="22"/>
        </w:rPr>
        <w:t>Zona</w:t>
      </w:r>
      <w:proofErr w:type="spellEnd"/>
      <w:r w:rsidR="00FF6D86" w:rsidRPr="00B9227C">
        <w:rPr>
          <w:szCs w:val="22"/>
        </w:rPr>
        <w:t>,</w:t>
      </w:r>
      <w:r w:rsidR="00FF6D86">
        <w:rPr>
          <w:szCs w:val="22"/>
        </w:rPr>
        <w:t xml:space="preserve"> </w:t>
      </w:r>
    </w:p>
    <w:p w14:paraId="4DACEFE7" w14:textId="06A1B66A"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7E7C4B9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571CFD28"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C74EF7">
        <w:rPr>
          <w:szCs w:val="22"/>
        </w:rPr>
        <w:t>,</w:t>
      </w:r>
    </w:p>
    <w:p w14:paraId="70989EFE" w14:textId="61A416B2"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3AF230C1" w14:textId="77777777" w:rsidR="007E414C" w:rsidRPr="007E414C" w:rsidRDefault="007E414C" w:rsidP="007E414C">
      <w:pPr>
        <w:pStyle w:val="KUsmlouva-2rove"/>
        <w:numPr>
          <w:ilvl w:val="0"/>
          <w:numId w:val="0"/>
        </w:numPr>
        <w:ind w:left="1080"/>
        <w:contextualSpacing/>
        <w:rPr>
          <w:szCs w:val="22"/>
        </w:rPr>
      </w:pPr>
    </w:p>
    <w:p w14:paraId="4AE292CA"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2577D1B7" w:rsidR="006F5194" w:rsidRPr="00C673CD" w:rsidRDefault="00247A96"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pPr>
        <w:pStyle w:val="KUsmlouva-3rove"/>
        <w:numPr>
          <w:ilvl w:val="2"/>
          <w:numId w:val="13"/>
        </w:numPr>
        <w:spacing w:before="120" w:after="0"/>
        <w:contextualSpacing/>
        <w:rPr>
          <w:b/>
          <w:szCs w:val="22"/>
        </w:rPr>
      </w:pPr>
      <w:r w:rsidRPr="00D14F68">
        <w:rPr>
          <w:b/>
          <w:szCs w:val="22"/>
        </w:rPr>
        <w:lastRenderedPageBreak/>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2D37F95A" w:rsidR="006F5194" w:rsidRPr="00A8720D" w:rsidRDefault="006F5194" w:rsidP="001C2664">
      <w:pPr>
        <w:pStyle w:val="KUsmlouva-3rove"/>
        <w:numPr>
          <w:ilvl w:val="2"/>
          <w:numId w:val="13"/>
        </w:numPr>
        <w:spacing w:before="120" w:after="0"/>
        <w:contextualSpacing/>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59E244E3" w14:textId="68D7E208" w:rsidR="006F5194" w:rsidRPr="00C673CD" w:rsidRDefault="006F5194" w:rsidP="001C2664">
      <w:pPr>
        <w:pStyle w:val="KUsmlouva-3rove"/>
        <w:numPr>
          <w:ilvl w:val="2"/>
          <w:numId w:val="13"/>
        </w:numPr>
        <w:spacing w:before="120" w:after="0"/>
        <w:contextualSpacing/>
        <w:rPr>
          <w:szCs w:val="22"/>
        </w:rPr>
      </w:pPr>
      <w:r w:rsidRPr="00C673CD">
        <w:rPr>
          <w:szCs w:val="22"/>
        </w:rPr>
        <w:t>příprav</w:t>
      </w:r>
      <w:r w:rsidR="00D14F68">
        <w:rPr>
          <w:szCs w:val="22"/>
        </w:rPr>
        <w:t>u</w:t>
      </w:r>
      <w:r w:rsidRPr="00C673CD">
        <w:rPr>
          <w:szCs w:val="22"/>
        </w:rPr>
        <w:t xml:space="preserve"> podkladů a součinnost pro zajištění kolaudace stavby a případné změny stavby před dokončením nebo zkušebního provozu,</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4250B1C"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3D073B34"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6CB3595A" w:rsidR="006F5194" w:rsidRPr="007623F5" w:rsidRDefault="00D14F68" w:rsidP="001C2664">
      <w:pPr>
        <w:pStyle w:val="KUsmlouva-3rove"/>
        <w:numPr>
          <w:ilvl w:val="2"/>
          <w:numId w:val="13"/>
        </w:numPr>
        <w:spacing w:before="120" w:after="0"/>
        <w:contextualSpacing/>
        <w:rPr>
          <w:b/>
          <w:szCs w:val="22"/>
        </w:rPr>
      </w:pPr>
      <w:r>
        <w:rPr>
          <w:szCs w:val="22"/>
        </w:rPr>
        <w:t>zajištění</w:t>
      </w:r>
      <w:r w:rsidRPr="007623F5">
        <w:rPr>
          <w:szCs w:val="22"/>
        </w:rPr>
        <w:t xml:space="preserve"> </w:t>
      </w:r>
      <w:r w:rsidRPr="007623F5">
        <w:rPr>
          <w:b/>
          <w:szCs w:val="22"/>
        </w:rPr>
        <w:t>pojištění odpovědnosti za škodu</w:t>
      </w:r>
      <w:r w:rsidRPr="007623F5">
        <w:rPr>
          <w:szCs w:val="22"/>
        </w:rPr>
        <w:t xml:space="preserve"> způsobenou třetí osobě činností zhotovitele dle čl. 1</w:t>
      </w:r>
      <w:r>
        <w:rPr>
          <w:szCs w:val="22"/>
        </w:rPr>
        <w:t>3</w:t>
      </w:r>
      <w:r w:rsidRPr="007623F5">
        <w:rPr>
          <w:szCs w:val="22"/>
        </w:rPr>
        <w:t xml:space="preserve"> této smlouvy </w:t>
      </w:r>
      <w:r w:rsidR="006F5194" w:rsidRPr="007623F5">
        <w:rPr>
          <w:szCs w:val="22"/>
        </w:rPr>
        <w:t>po celou dobu stavby do doby protokolárního předání a převzetí díla</w:t>
      </w:r>
      <w:r w:rsidR="000C1745" w:rsidRPr="007623F5">
        <w:rPr>
          <w:szCs w:val="22"/>
        </w:rPr>
        <w:t>,</w:t>
      </w:r>
    </w:p>
    <w:p w14:paraId="238460DC" w14:textId="3777B5BA"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65EAA11D"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a to vůči všem osobám, které se na plnění zakázky podílejí bez ohledu na to, zda budou činnosti prováděné 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lastRenderedPageBreak/>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15C83974"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5925C3B7" w14:textId="0010B183" w:rsidR="00C504AF" w:rsidRPr="00080482" w:rsidRDefault="006F5194" w:rsidP="00080482">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6863DF31"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7A0465F4"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2"/>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lastRenderedPageBreak/>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E8DCB62"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zhotoviteli. 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w:t>
      </w:r>
      <w:r w:rsidRPr="0056383D">
        <w:lastRenderedPageBreak/>
        <w:t>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5814F821" w:rsidR="00654D89" w:rsidRPr="00EF58C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DA4548">
        <w:t>předmětu díla</w:t>
      </w:r>
      <w:r w:rsidR="005D3150" w:rsidRPr="00EF58C5">
        <w:t xml:space="preserve"> </w:t>
      </w:r>
      <w:r w:rsidRPr="00EF58C5">
        <w:t>je</w:t>
      </w:r>
      <w:r w:rsidR="00526B1E" w:rsidRPr="00EF58C5">
        <w:t xml:space="preserve"> </w:t>
      </w:r>
      <w:r w:rsidR="00E75C38">
        <w:t>53</w:t>
      </w:r>
      <w:r w:rsidR="00080482">
        <w:rPr>
          <w:b/>
          <w:bCs/>
        </w:rPr>
        <w:t xml:space="preserve"> </w:t>
      </w:r>
      <w:r w:rsidR="000173EE" w:rsidRPr="00080482">
        <w:rPr>
          <w:b/>
          <w:bCs/>
        </w:rPr>
        <w:t>kalendářních dnů</w:t>
      </w:r>
      <w:r w:rsidR="00D10726" w:rsidRPr="00EF58C5">
        <w:rPr>
          <w:b/>
          <w:bCs/>
        </w:rPr>
        <w:t xml:space="preserve"> od předání staveniště</w:t>
      </w:r>
      <w:r w:rsidR="00D10726" w:rsidRPr="00EF58C5">
        <w:t>.</w:t>
      </w:r>
    </w:p>
    <w:p w14:paraId="63619E84" w14:textId="5080FB9C" w:rsidR="00500161" w:rsidRPr="00E75C38" w:rsidRDefault="00E75C38" w:rsidP="001C2664">
      <w:pPr>
        <w:pStyle w:val="KUsmlouva-2rove"/>
        <w:numPr>
          <w:ilvl w:val="1"/>
          <w:numId w:val="13"/>
        </w:numPr>
        <w:spacing w:after="0"/>
        <w:ind w:left="567" w:hanging="567"/>
        <w:contextualSpacing/>
      </w:pPr>
      <w:r>
        <w:t>T</w:t>
      </w:r>
      <w:r w:rsidR="00500161" w:rsidRPr="00EF58C5">
        <w:t>ermín zahájení doby plnění (stavby)</w:t>
      </w:r>
      <w:r w:rsidR="00031C5E" w:rsidRPr="00EF58C5">
        <w:t>:</w:t>
      </w:r>
      <w:r w:rsidR="000173EE">
        <w:t xml:space="preserve"> </w:t>
      </w:r>
      <w:r w:rsidRPr="00B96942">
        <w:rPr>
          <w:b/>
        </w:rPr>
        <w:t>24.6.2026</w:t>
      </w:r>
    </w:p>
    <w:p w14:paraId="7F417FFC" w14:textId="3B4904F4" w:rsidR="00E75C38" w:rsidRPr="00EF58C5" w:rsidRDefault="00E75C38" w:rsidP="001C2664">
      <w:pPr>
        <w:pStyle w:val="KUsmlouva-2rove"/>
        <w:numPr>
          <w:ilvl w:val="1"/>
          <w:numId w:val="13"/>
        </w:numPr>
        <w:spacing w:after="0"/>
        <w:ind w:left="567" w:hanging="567"/>
        <w:contextualSpacing/>
      </w:pPr>
      <w:r>
        <w:t xml:space="preserve">Termín dokončení doby plnění (stavby): </w:t>
      </w:r>
      <w:r w:rsidRPr="00080482">
        <w:rPr>
          <w:b/>
        </w:rPr>
        <w:t>15.8.2026</w:t>
      </w:r>
    </w:p>
    <w:p w14:paraId="330B132F" w14:textId="1CC70913"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r w:rsidR="00E75C38">
        <w:t>24.6.2026</w:t>
      </w:r>
    </w:p>
    <w:p w14:paraId="4AEBB4C3" w14:textId="109E8687"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Pr="00AF2F19">
        <w:t>o pojištění, a to včetně termínu, kdy zhotovitel t</w:t>
      </w:r>
      <w:r w:rsidR="000173EE">
        <w:t>en</w:t>
      </w:r>
      <w:r w:rsidRPr="00AF2F19">
        <w:t>to dokument o pojištění předložil.</w:t>
      </w:r>
    </w:p>
    <w:p w14:paraId="4F8269A4" w14:textId="24426EDB" w:rsidR="006F5194" w:rsidRPr="00281E32" w:rsidRDefault="006F5194" w:rsidP="001C2664">
      <w:pPr>
        <w:pStyle w:val="KUsmlouva-2rove"/>
        <w:numPr>
          <w:ilvl w:val="1"/>
          <w:numId w:val="13"/>
        </w:numPr>
        <w:spacing w:after="0"/>
        <w:ind w:left="567" w:hanging="567"/>
        <w:contextualSpacing/>
      </w:pPr>
      <w:bookmarkStart w:id="3" w:name="_Ref26971151"/>
      <w:r w:rsidRPr="00281E32">
        <w:t xml:space="preserve">K protokolárnímu převzetí a předání staveniště dojde na základě výzvy k převzetí staveniště ze strany objednatele, a to </w:t>
      </w:r>
      <w:bookmarkStart w:id="4"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w:t>
      </w:r>
      <w:bookmarkEnd w:id="4"/>
      <w:r w:rsidR="00080482">
        <w:t>4</w:t>
      </w:r>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 </w:t>
      </w:r>
      <w:r w:rsidR="00B96942" w:rsidRPr="00B96942">
        <w:rPr>
          <w:b/>
          <w:bCs/>
        </w:rPr>
        <w:t>30 dnů</w:t>
      </w:r>
      <w:r w:rsidR="00A75816" w:rsidRPr="00DA1759">
        <w:t xml:space="preserve"> </w:t>
      </w:r>
      <w:r w:rsidR="00B96942">
        <w:t>od účinnosti smlouvy</w:t>
      </w:r>
      <w:r w:rsidR="00B96942" w:rsidRPr="00DA1759">
        <w:t xml:space="preserve"> </w:t>
      </w:r>
      <w:r w:rsidR="00A75816" w:rsidRPr="00DA1759">
        <w:t xml:space="preserve">vyhrazuje </w:t>
      </w:r>
      <w:r w:rsidR="00A75816" w:rsidRPr="00281E32">
        <w:t>si objednatel</w:t>
      </w:r>
      <w:r w:rsidR="000E3E9B" w:rsidRPr="00281E32">
        <w:t xml:space="preserve"> </w:t>
      </w:r>
      <w:r w:rsidR="00B96942">
        <w:t xml:space="preserve">i zhotovitel </w:t>
      </w:r>
      <w:r w:rsidR="009E0210" w:rsidRPr="00281E32">
        <w:t xml:space="preserve">právo </w:t>
      </w:r>
      <w:r w:rsidR="00A75816" w:rsidRPr="00281E32">
        <w:t>odstoupit od této smlouvy</w:t>
      </w:r>
      <w:r w:rsidRPr="00281E32">
        <w:t>.</w:t>
      </w:r>
      <w:bookmarkEnd w:id="3"/>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4A12AB78"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w:t>
      </w:r>
      <w:r w:rsidR="00E75C38">
        <w:t xml:space="preserve">při </w:t>
      </w:r>
      <w:r w:rsidRPr="008B40AE">
        <w:t>předání staveniště</w:t>
      </w:r>
      <w:r w:rsidR="00E75C38">
        <w:t xml:space="preserve">. </w:t>
      </w:r>
    </w:p>
    <w:p w14:paraId="0304D28D"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77777777"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a provozní návaznosti,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53423680" w:rsidR="00654D89" w:rsidRPr="00EA071A" w:rsidRDefault="006F5194" w:rsidP="00EA071A">
      <w:pPr>
        <w:pStyle w:val="KUsmlouva-2rove"/>
        <w:numPr>
          <w:ilvl w:val="1"/>
          <w:numId w:val="13"/>
        </w:numPr>
        <w:ind w:left="567" w:hanging="579"/>
        <w:contextualSpacing/>
      </w:pPr>
      <w:r w:rsidRPr="008B40AE">
        <w:t xml:space="preserve">Místem plnění </w:t>
      </w:r>
      <w:r w:rsidR="00EA6FF0">
        <w:t xml:space="preserve">je k. </w:t>
      </w:r>
      <w:proofErr w:type="spellStart"/>
      <w:r w:rsidR="00EA6FF0">
        <w:t>ú.</w:t>
      </w:r>
      <w:proofErr w:type="spellEnd"/>
      <w:r w:rsidR="00EA6FF0">
        <w:t xml:space="preserve"> </w:t>
      </w:r>
      <w:r w:rsidR="001D1406" w:rsidRPr="00B96942">
        <w:t>Kroměříž</w:t>
      </w:r>
      <w:r w:rsidR="00B96942">
        <w:t xml:space="preserve">, </w:t>
      </w:r>
      <w:r w:rsidR="00EA6FF0">
        <w:t>parc</w:t>
      </w:r>
      <w:r w:rsidR="003A7D61">
        <w:t xml:space="preserve">ely: </w:t>
      </w:r>
      <w:r w:rsidR="001D1406">
        <w:t>st.4430/5, ZŠ Slovan, jídelna</w:t>
      </w:r>
      <w:r w:rsidR="00B96942">
        <w:t>.</w:t>
      </w: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5"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5"/>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6"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6"/>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48AEFB90"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w:t>
      </w:r>
      <w:r w:rsidR="003254F7">
        <w:rPr>
          <w:rStyle w:val="KUTun"/>
          <w:rFonts w:ascii="Arial" w:hAnsi="Arial" w:cs="Arial"/>
          <w:sz w:val="18"/>
          <w:highlight w:val="yellow"/>
        </w:rPr>
        <w:t>/12</w:t>
      </w:r>
      <w:r w:rsidRPr="00C673CD">
        <w:rPr>
          <w:rStyle w:val="KUTun"/>
          <w:rFonts w:ascii="Arial" w:hAnsi="Arial" w:cs="Arial"/>
          <w:sz w:val="18"/>
          <w:highlight w:val="yellow"/>
        </w:rPr>
        <w:t xml:space="preserve"> %</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lastRenderedPageBreak/>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49852B4" w14:textId="1B7895E9" w:rsidR="006309DD" w:rsidRPr="008B40AE" w:rsidRDefault="006F5194" w:rsidP="00E172EB">
      <w:pPr>
        <w:pStyle w:val="KUsmlouva-2rove"/>
        <w:numPr>
          <w:ilvl w:val="1"/>
          <w:numId w:val="13"/>
        </w:numPr>
        <w:spacing w:after="0"/>
        <w:ind w:left="567" w:hanging="567"/>
        <w:contextualSpacing/>
      </w:pPr>
      <w:r w:rsidRPr="00B96942">
        <w:t xml:space="preserve">Faktury budou vystavovány zpravidla měsíčně </w:t>
      </w:r>
      <w:r w:rsidRPr="008B40AE">
        <w:t xml:space="preserve">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03CC451B"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0173EE">
        <w:t>.</w:t>
      </w:r>
    </w:p>
    <w:p w14:paraId="66ED852C" w14:textId="77777777" w:rsidR="008E6EC0" w:rsidRDefault="00760054" w:rsidP="00150E18">
      <w:pPr>
        <w:pStyle w:val="KUsmlouva-2rove"/>
        <w:numPr>
          <w:ilvl w:val="1"/>
          <w:numId w:val="13"/>
        </w:numPr>
        <w:spacing w:after="0"/>
        <w:ind w:left="567" w:hanging="567"/>
        <w:contextualSpacing/>
      </w:pPr>
      <w:bookmarkStart w:id="7" w:name="_Hlk222301319"/>
      <w:r>
        <w:t xml:space="preserve">Faktura včetně všech příloh bude vyhotovena ve 2 vyhotoveních s platností originálu. </w:t>
      </w:r>
    </w:p>
    <w:bookmarkEnd w:id="7"/>
    <w:p w14:paraId="411AD27C" w14:textId="675123B9"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1A129C3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1A9D36FA"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64975D32"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1691578D"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1C2664">
      <w:pPr>
        <w:pStyle w:val="KUsmlouva-4rove"/>
        <w:numPr>
          <w:ilvl w:val="3"/>
          <w:numId w:val="13"/>
        </w:numPr>
        <w:spacing w:before="120"/>
        <w:contextualSpacing/>
        <w:rPr>
          <w:b/>
        </w:rPr>
      </w:pPr>
      <w:r w:rsidRPr="003D75BD">
        <w:lastRenderedPageBreak/>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25A11383"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DE3A05">
        <w:t>18</w:t>
      </w:r>
      <w:r w:rsidR="00DE3A05" w:rsidRPr="003D75BD">
        <w:t xml:space="preserve"> </w:t>
      </w:r>
      <w:r w:rsidRPr="003D75BD">
        <w:t>této smlouvy.</w:t>
      </w:r>
    </w:p>
    <w:p w14:paraId="222BBB16" w14:textId="1BF29644"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5A8B4CD8"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ode dne uskutečnění zdanitelného plnění a řádně doloženy nezbytnými doklady, které umožní objednateli provést jejich kontrolu.</w:t>
      </w:r>
    </w:p>
    <w:p w14:paraId="76A23981" w14:textId="5F35E32C" w:rsidR="006F5194" w:rsidRPr="008B40AE" w:rsidRDefault="006F5194" w:rsidP="001C2664">
      <w:pPr>
        <w:pStyle w:val="KUsmlouva-3rove"/>
        <w:numPr>
          <w:ilvl w:val="2"/>
          <w:numId w:val="13"/>
        </w:numPr>
        <w:spacing w:before="120" w:after="0"/>
        <w:contextualSpacing/>
        <w:rPr>
          <w:b/>
        </w:rPr>
      </w:pPr>
      <w:bookmarkStart w:id="8" w:name="_Ref319915947"/>
      <w:r w:rsidRPr="003D75BD">
        <w:t xml:space="preserve">Splatnost faktur je </w:t>
      </w:r>
      <w:r w:rsidRPr="003D75BD">
        <w:rPr>
          <w:b/>
        </w:rPr>
        <w:t>30 dnů</w:t>
      </w:r>
      <w:r w:rsidRPr="003D75BD">
        <w:t xml:space="preserve"> ode dne jejich prokazatelného doručení do sídla objednatele</w:t>
      </w:r>
      <w:r w:rsidR="00E834E0">
        <w:t xml:space="preserve">, </w:t>
      </w:r>
      <w:bookmarkStart w:id="9" w:name="_Hlk222301409"/>
      <w:r w:rsidR="00E834E0">
        <w:t>jak v</w:t>
      </w:r>
      <w:r w:rsidR="00B9227C">
        <w:t> </w:t>
      </w:r>
      <w:proofErr w:type="gramStart"/>
      <w:r w:rsidR="00E834E0">
        <w:t>listi</w:t>
      </w:r>
      <w:r w:rsidR="00B9227C">
        <w:t>n</w:t>
      </w:r>
      <w:r w:rsidR="00E834E0">
        <w:t>né</w:t>
      </w:r>
      <w:proofErr w:type="gramEnd"/>
      <w:r w:rsidR="00B9227C">
        <w:t xml:space="preserve"> </w:t>
      </w:r>
      <w:r w:rsidR="00E834E0">
        <w:t>tak elektronické podobě</w:t>
      </w:r>
      <w:bookmarkEnd w:id="9"/>
      <w:r w:rsidRPr="003D75BD">
        <w:t>.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8"/>
      <w:r w:rsidRPr="008B40AE">
        <w:rPr>
          <w:bCs/>
        </w:rPr>
        <w:t xml:space="preserve"> </w:t>
      </w:r>
    </w:p>
    <w:p w14:paraId="4884F071" w14:textId="6BA1EB86"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0173EE">
        <w:t>6</w:t>
      </w:r>
      <w:r w:rsidR="00EC700F">
        <w:t>.2</w:t>
      </w:r>
      <w:r w:rsidRPr="008B40AE">
        <w:fldChar w:fldCharType="end"/>
      </w:r>
      <w:bookmarkStart w:id="10" w:name="_Toc527338581"/>
      <w:r w:rsidRPr="008B40AE">
        <w:t>. Zhotovitel bere na vědomí, že v případě oprávněného vrácení faktury nemá nárok na úrok z prodlení dle čl.</w:t>
      </w:r>
      <w:bookmarkEnd w:id="10"/>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60B58F71" w:rsidR="003F77D6" w:rsidRPr="000B60C5" w:rsidRDefault="006F5194" w:rsidP="008C056E">
      <w:pPr>
        <w:pStyle w:val="KUsmlouva-3rove"/>
        <w:numPr>
          <w:ilvl w:val="2"/>
          <w:numId w:val="13"/>
        </w:numPr>
        <w:spacing w:before="120" w:after="0"/>
        <w:contextualSpacing/>
      </w:pPr>
      <w:r w:rsidRPr="003D75BD">
        <w:t xml:space="preserve">projektovou dokumentaci pro </w:t>
      </w:r>
      <w:r w:rsidR="00946519" w:rsidRPr="003D75BD">
        <w:t>p</w:t>
      </w:r>
      <w:r w:rsidR="000B60C5">
        <w:t>rováděn</w:t>
      </w:r>
      <w:r w:rsidR="00946519" w:rsidRPr="003D75BD">
        <w:t>í</w:t>
      </w:r>
      <w:r w:rsidRPr="003D75BD">
        <w:t xml:space="preserve"> stavby</w:t>
      </w:r>
      <w:r w:rsidRPr="003F77D6">
        <w:rPr>
          <w:b/>
        </w:rPr>
        <w:t> </w:t>
      </w:r>
      <w:r w:rsidR="005E3960" w:rsidRPr="00FA44E6">
        <w:t>2</w:t>
      </w:r>
      <w:r w:rsidR="000B60C5">
        <w:t xml:space="preserve"> x v tištěné formě</w:t>
      </w:r>
      <w:r w:rsidRPr="003D75BD">
        <w:t xml:space="preserve">, zpracovanou </w:t>
      </w:r>
      <w:r w:rsidR="003F77D6">
        <w:rPr>
          <w:szCs w:val="22"/>
        </w:rPr>
        <w:t xml:space="preserve">projektantem </w:t>
      </w:r>
      <w:r w:rsidR="001D1406" w:rsidRPr="00B96942">
        <w:rPr>
          <w:szCs w:val="22"/>
        </w:rPr>
        <w:t xml:space="preserve">Ing. Jan </w:t>
      </w:r>
      <w:proofErr w:type="spellStart"/>
      <w:r w:rsidR="001D1406" w:rsidRPr="00B96942">
        <w:rPr>
          <w:szCs w:val="22"/>
        </w:rPr>
        <w:t>Zona</w:t>
      </w:r>
      <w:proofErr w:type="spellEnd"/>
      <w:r w:rsidR="00B96942">
        <w:rPr>
          <w:szCs w:val="22"/>
        </w:rPr>
        <w:t>,</w:t>
      </w:r>
      <w:r w:rsidR="001D1406">
        <w:rPr>
          <w:szCs w:val="22"/>
        </w:rPr>
        <w:t xml:space="preserve"> </w:t>
      </w:r>
      <w:r w:rsidR="003F77D6">
        <w:rPr>
          <w:szCs w:val="22"/>
        </w:rPr>
        <w:t xml:space="preserve">datace </w:t>
      </w:r>
      <w:r w:rsidR="0085108C">
        <w:rPr>
          <w:szCs w:val="22"/>
        </w:rPr>
        <w:t xml:space="preserve">únor 2026, </w:t>
      </w:r>
      <w:proofErr w:type="spellStart"/>
      <w:proofErr w:type="gramStart"/>
      <w:r w:rsidR="0085108C">
        <w:rPr>
          <w:szCs w:val="22"/>
        </w:rPr>
        <w:t>č.zakázky</w:t>
      </w:r>
      <w:proofErr w:type="spellEnd"/>
      <w:proofErr w:type="gramEnd"/>
      <w:r w:rsidR="0085108C">
        <w:rPr>
          <w:szCs w:val="22"/>
        </w:rPr>
        <w:t xml:space="preserve"> 3-2026.</w:t>
      </w:r>
      <w:r w:rsidR="003F77D6">
        <w:rPr>
          <w:szCs w:val="22"/>
        </w:rPr>
        <w:t xml:space="preserve"> </w:t>
      </w:r>
    </w:p>
    <w:p w14:paraId="45AC8C72" w14:textId="621FA378" w:rsidR="006F5194" w:rsidRDefault="006F5194" w:rsidP="001C2664">
      <w:pPr>
        <w:pStyle w:val="KUsmlouva-3rove"/>
        <w:numPr>
          <w:ilvl w:val="2"/>
          <w:numId w:val="13"/>
        </w:numPr>
        <w:spacing w:before="120" w:after="0"/>
        <w:contextualSpacing/>
      </w:pPr>
      <w:r w:rsidRPr="00C673CD">
        <w:lastRenderedPageBreak/>
        <w:t>výsledky projednání s dotčenými orgány a vlastníky v rámci stavebního řízení v digitální formě,</w:t>
      </w:r>
    </w:p>
    <w:p w14:paraId="0794D1DA" w14:textId="77777777" w:rsidR="006F5194" w:rsidRPr="007623F5" w:rsidRDefault="006F5194" w:rsidP="00003EF8">
      <w:pPr>
        <w:pStyle w:val="KUsmlouva-3rove"/>
        <w:numPr>
          <w:ilvl w:val="2"/>
          <w:numId w:val="13"/>
        </w:numPr>
        <w:spacing w:before="120" w:after="0"/>
        <w:contextualSpacing/>
      </w:pPr>
      <w:r w:rsidRPr="007623F5">
        <w:t xml:space="preserve">jméno TDS a koordinátora </w:t>
      </w:r>
      <w:r w:rsidR="00B901BB" w:rsidRPr="007623F5">
        <w:t>BOZP – personální</w:t>
      </w:r>
      <w:r w:rsidRPr="007623F5">
        <w:t xml:space="preserve"> zastoupení a oprávnění,</w:t>
      </w:r>
    </w:p>
    <w:p w14:paraId="734342E7" w14:textId="77777777" w:rsidR="006F5194" w:rsidRPr="007623F5" w:rsidRDefault="006F5194" w:rsidP="001C2664">
      <w:pPr>
        <w:pStyle w:val="KUsmlouva-3rove"/>
        <w:numPr>
          <w:ilvl w:val="2"/>
          <w:numId w:val="13"/>
        </w:numPr>
        <w:spacing w:before="120" w:after="0"/>
        <w:contextualSpacing/>
      </w:pPr>
      <w:bookmarkStart w:id="11" w:name="_Ref371945153"/>
      <w:r w:rsidRPr="007623F5">
        <w:t>vzor změnového listu,</w:t>
      </w:r>
      <w:bookmarkEnd w:id="11"/>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0B5567D0"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w:t>
      </w:r>
      <w:r w:rsidR="00AA78A1">
        <w:t>rozhodnutím o povolení stavebního záměru</w:t>
      </w:r>
      <w:r w:rsidRPr="003D75BD">
        <w:t xml:space="preserve">.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D4D89F7" w14:textId="2FF9BB2F" w:rsidR="0060092A" w:rsidRPr="007623F5" w:rsidRDefault="006F5194" w:rsidP="001C2664">
      <w:pPr>
        <w:pStyle w:val="KUsmlouva-2rove"/>
        <w:numPr>
          <w:ilvl w:val="1"/>
          <w:numId w:val="13"/>
        </w:numPr>
        <w:spacing w:after="0"/>
        <w:ind w:left="567" w:hanging="567"/>
        <w:contextualSpacing/>
      </w:pPr>
      <w:bookmarkStart w:id="12" w:name="_Ref356221692"/>
      <w:r w:rsidRPr="007623F5">
        <w:t xml:space="preserve">Zhotovitel je povinen na vhodném místě u vstupu na staveniště bezprostředně po zahájení realizace umístit </w:t>
      </w:r>
      <w:bookmarkEnd w:id="12"/>
      <w:r w:rsidR="0060092A" w:rsidRPr="007623F5">
        <w:t>informační tabuli</w:t>
      </w:r>
      <w:r w:rsidR="00F850DA" w:rsidRPr="007623F5">
        <w:t>,</w:t>
      </w:r>
      <w:r w:rsidR="007B2443" w:rsidRPr="007623F5">
        <w:t xml:space="preserve"> případně billboard,</w:t>
      </w:r>
      <w:r w:rsidR="00F850DA" w:rsidRPr="007623F5">
        <w:t xml:space="preserve"> kter</w:t>
      </w:r>
      <w:r w:rsidR="007B2443" w:rsidRPr="007623F5">
        <w:t>é</w:t>
      </w:r>
      <w:r w:rsidR="00F850DA" w:rsidRPr="007623F5">
        <w:t xml:space="preserve"> objednatel zajistí na své náklady.</w:t>
      </w:r>
      <w:r w:rsidR="00656E64" w:rsidRPr="007623F5">
        <w:t xml:space="preserve"> Zhotovitel se zavazuje udržovat informační tabuli na určeném místě až do předání díla v dobrém (čitelném</w:t>
      </w:r>
      <w:r w:rsidR="009909CB" w:rsidRPr="007623F5">
        <w:t>)</w:t>
      </w:r>
      <w:r w:rsidR="00656E64" w:rsidRPr="007623F5">
        <w:t xml:space="preserve"> stavu.</w:t>
      </w:r>
    </w:p>
    <w:p w14:paraId="51314A5F" w14:textId="77777777" w:rsidR="00656E64" w:rsidRPr="00AA06C9" w:rsidRDefault="00656E64" w:rsidP="00656E64">
      <w:pPr>
        <w:pStyle w:val="KUsmlouva-2rove"/>
        <w:numPr>
          <w:ilvl w:val="0"/>
          <w:numId w:val="0"/>
        </w:numPr>
        <w:spacing w:after="0"/>
        <w:ind w:left="567"/>
        <w:contextualSpacing/>
        <w:rPr>
          <w:highlight w:val="cyan"/>
        </w:rPr>
      </w:pP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lastRenderedPageBreak/>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74103339" w:rsidR="000915D8" w:rsidRPr="00AF1DB3" w:rsidRDefault="000915D8" w:rsidP="001C2664">
      <w:pPr>
        <w:pStyle w:val="KUsmlouva-2rove"/>
        <w:numPr>
          <w:ilvl w:val="1"/>
          <w:numId w:val="13"/>
        </w:numPr>
        <w:spacing w:after="0"/>
        <w:ind w:left="567" w:hanging="567"/>
        <w:contextualSpacing/>
        <w:rPr>
          <w:b/>
        </w:rPr>
      </w:pPr>
      <w:bookmarkStart w:id="13" w:name="_Ref164168594"/>
      <w:r w:rsidRPr="00AF1DB3">
        <w:t>Zhotovitel je povinen objednateli předat podrobný harmonogram výstavby</w:t>
      </w:r>
      <w:r w:rsidR="0085108C">
        <w:t xml:space="preserve"> při předání staveniště</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 xml:space="preserve">dnů od zjištění předmětné nesrovnalosti. </w:t>
      </w:r>
      <w:bookmarkEnd w:id="13"/>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4983AF4B"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w:t>
      </w:r>
      <w:proofErr w:type="spellStart"/>
      <w:r w:rsidRPr="00AF1DB3">
        <w:t>a</w:t>
      </w:r>
      <w:r w:rsidRPr="00EF698C">
        <w:t>n</w:t>
      </w:r>
      <w:proofErr w:type="spellEnd"/>
      <w:r w:rsidRPr="00EF698C">
        <w:t xml:space="preserve">.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w:t>
      </w:r>
      <w:bookmarkStart w:id="14"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4"/>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lastRenderedPageBreak/>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5" w:name="_Ref356221972"/>
      <w:r w:rsidRPr="009A5AF8">
        <w:t xml:space="preserve">Stavební deník (dále jen </w:t>
      </w:r>
      <w:r w:rsidR="009915CC">
        <w:t>„</w:t>
      </w:r>
      <w:r w:rsidRPr="009A5AF8">
        <w:t>SD</w:t>
      </w:r>
      <w:r w:rsidR="00062EE9">
        <w:t>“</w:t>
      </w:r>
      <w:r w:rsidRPr="009A5AF8">
        <w:t>):</w:t>
      </w:r>
      <w:bookmarkEnd w:id="15"/>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0F5DEB6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6"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6"/>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5BC01DA3"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Vzorky:</w:t>
      </w:r>
    </w:p>
    <w:p w14:paraId="1DDC2B3E" w14:textId="2B460BCC"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30A89C5F"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1E94ED51" w:rsidR="006F5194"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 xml:space="preserve">dnů po předložení vzorku vyjádří, zda ho přijímá, odmítá, či zda požaduje změnu. Zhotovitel je povinen předložit nový nebo upravený vzorek a objednatel se k němu </w:t>
      </w:r>
      <w:r w:rsidRPr="009A5AF8">
        <w:lastRenderedPageBreak/>
        <w:t>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70D93B9C" w14:textId="12784FCC" w:rsidR="008F4AF0" w:rsidRDefault="008F4AF0" w:rsidP="002C2356">
      <w:pPr>
        <w:pStyle w:val="KUsmlouva-4rove"/>
        <w:numPr>
          <w:ilvl w:val="3"/>
          <w:numId w:val="13"/>
        </w:numPr>
        <w:spacing w:before="120"/>
        <w:ind w:left="2410"/>
        <w:contextualSpacing/>
      </w:pPr>
      <w:r>
        <w:t xml:space="preserve">Zhotovitel předloží </w:t>
      </w:r>
      <w:r w:rsidR="0038408A">
        <w:t>minimálně tyto vzorky materiálů:</w:t>
      </w:r>
    </w:p>
    <w:p w14:paraId="47236312" w14:textId="77777777" w:rsidR="0085108C" w:rsidRPr="00B96942" w:rsidRDefault="0085108C" w:rsidP="00101401">
      <w:pPr>
        <w:pStyle w:val="KUsmlouva-4rove"/>
        <w:numPr>
          <w:ilvl w:val="0"/>
          <w:numId w:val="44"/>
        </w:numPr>
        <w:spacing w:before="120"/>
        <w:contextualSpacing/>
      </w:pPr>
      <w:r w:rsidRPr="00B96942">
        <w:t>Výrobní dokumentaci nerezového vybavení kuchyně</w:t>
      </w:r>
      <w:bookmarkStart w:id="17" w:name="_GoBack"/>
      <w:bookmarkEnd w:id="17"/>
    </w:p>
    <w:p w14:paraId="72346FF9" w14:textId="77777777" w:rsidR="0085108C" w:rsidRPr="00B9227C" w:rsidRDefault="0085108C" w:rsidP="00101401">
      <w:pPr>
        <w:pStyle w:val="KUsmlouva-4rove"/>
        <w:numPr>
          <w:ilvl w:val="0"/>
          <w:numId w:val="44"/>
        </w:numPr>
        <w:spacing w:before="120"/>
        <w:contextualSpacing/>
      </w:pPr>
      <w:r w:rsidRPr="00B9227C">
        <w:t>Vzorek dlažby a obkladů</w:t>
      </w:r>
      <w:r w:rsidR="0038408A" w:rsidRPr="00B9227C">
        <w:t>…</w:t>
      </w:r>
    </w:p>
    <w:p w14:paraId="0441D3ED" w14:textId="73838981" w:rsidR="0038408A" w:rsidRPr="00101401" w:rsidRDefault="0085108C" w:rsidP="00101401">
      <w:pPr>
        <w:pStyle w:val="KUsmlouva-4rove"/>
        <w:numPr>
          <w:ilvl w:val="0"/>
          <w:numId w:val="44"/>
        </w:numPr>
        <w:spacing w:before="120"/>
        <w:contextualSpacing/>
        <w:rPr>
          <w:highlight w:val="lightGray"/>
        </w:rPr>
      </w:pPr>
      <w:r w:rsidRPr="00B9227C">
        <w:t>Ty</w:t>
      </w:r>
      <w:r w:rsidRPr="00B96942">
        <w:t xml:space="preserve">p dodávané </w:t>
      </w:r>
      <w:proofErr w:type="spellStart"/>
      <w:r w:rsidRPr="00B96942">
        <w:t>předmycí</w:t>
      </w:r>
      <w:proofErr w:type="spellEnd"/>
      <w:r w:rsidRPr="00B96942">
        <w:t xml:space="preserve"> zóny ke stávající myčce nádob</w:t>
      </w:r>
      <w:r w:rsidR="00B96942">
        <w:t>í</w:t>
      </w:r>
    </w:p>
    <w:p w14:paraId="254C0DC8" w14:textId="76FEDE99"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529BE481"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419A0E1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lastRenderedPageBreak/>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0A274559" w14:textId="77777777" w:rsidR="00EA071A" w:rsidRPr="00EA071A" w:rsidRDefault="00EA071A" w:rsidP="00EA071A">
      <w:pPr>
        <w:pStyle w:val="KUsmlouva-4rove"/>
        <w:numPr>
          <w:ilvl w:val="0"/>
          <w:numId w:val="0"/>
        </w:numPr>
        <w:spacing w:before="120"/>
        <w:ind w:left="2325"/>
        <w:contextualSpacing/>
        <w:rPr>
          <w:color w:val="FF0000"/>
        </w:rPr>
      </w:pPr>
    </w:p>
    <w:p w14:paraId="3510ECB4" w14:textId="77777777" w:rsidR="00650BEA" w:rsidRPr="007C559F" w:rsidRDefault="00650BEA" w:rsidP="00650BEA">
      <w:pPr>
        <w:spacing w:before="120"/>
        <w:ind w:left="567"/>
        <w:contextualSpacing/>
        <w:jc w:val="both"/>
        <w:rPr>
          <w:rFonts w:ascii="Arial" w:hAnsi="Arial" w:cs="Arial"/>
          <w:szCs w:val="22"/>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41CA2C43"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FA249E">
        <w:rPr>
          <w:b/>
        </w:rPr>
        <w:t>10</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22D9AB62" w14:textId="183EFE6B" w:rsidR="006F5194" w:rsidRPr="007623F5" w:rsidRDefault="006F5194" w:rsidP="00B96942">
      <w:pPr>
        <w:pStyle w:val="KUsmlouva-4rove"/>
        <w:numPr>
          <w:ilvl w:val="3"/>
          <w:numId w:val="13"/>
        </w:numPr>
        <w:spacing w:before="120"/>
        <w:contextualSpacing/>
      </w:pPr>
      <w:r w:rsidRPr="003E01E0">
        <w:t>projektovou dokumentaci skutečného</w:t>
      </w:r>
      <w:r w:rsidRPr="006E3596">
        <w:t xml:space="preserve"> provedení stavby </w:t>
      </w:r>
    </w:p>
    <w:p w14:paraId="13908AFF" w14:textId="2E23AE43" w:rsidR="006F5194" w:rsidRPr="007623F5" w:rsidRDefault="006F5194" w:rsidP="001C2664">
      <w:pPr>
        <w:pStyle w:val="KUsmlouva-4rove"/>
        <w:numPr>
          <w:ilvl w:val="3"/>
          <w:numId w:val="13"/>
        </w:numPr>
        <w:spacing w:before="120"/>
        <w:contextualSpacing/>
      </w:pPr>
      <w:r w:rsidRPr="007623F5">
        <w:lastRenderedPageBreak/>
        <w:t>osvědčení (protokoly) o provedených zkouškách</w:t>
      </w:r>
      <w:r w:rsidR="00EB663A">
        <w:t>,</w:t>
      </w:r>
      <w:r w:rsidRPr="007623F5">
        <w:t xml:space="preserve"> </w:t>
      </w:r>
    </w:p>
    <w:p w14:paraId="2B31270D" w14:textId="48B90A88" w:rsidR="006F5194" w:rsidRPr="007623F5" w:rsidRDefault="006F5194" w:rsidP="001C2664">
      <w:pPr>
        <w:pStyle w:val="KUsmlouva-4rove"/>
        <w:numPr>
          <w:ilvl w:val="3"/>
          <w:numId w:val="13"/>
        </w:numPr>
        <w:spacing w:before="120"/>
        <w:contextualSpacing/>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22FBDCA8"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334CD38D" w14:textId="570CC0B7" w:rsidR="006F5194" w:rsidRPr="006E3596" w:rsidRDefault="006F5194" w:rsidP="001C2664">
      <w:pPr>
        <w:pStyle w:val="KUsmlouva-4rove"/>
        <w:numPr>
          <w:ilvl w:val="3"/>
          <w:numId w:val="13"/>
        </w:numPr>
        <w:spacing w:before="120"/>
        <w:contextualSpacing/>
      </w:pPr>
      <w:r w:rsidRPr="006E3596">
        <w:t xml:space="preserve">zápisy o provedení a kontrole </w:t>
      </w:r>
      <w:r w:rsidR="006418C9">
        <w:t>křížení inženýrských sítí</w:t>
      </w:r>
      <w:r w:rsidRPr="006E3596">
        <w:t xml:space="preserve"> včetně fotodokumentace</w:t>
      </w:r>
      <w:r w:rsidR="00E228AA">
        <w:t>,</w:t>
      </w:r>
    </w:p>
    <w:p w14:paraId="255C9CBE" w14:textId="7DD5D48D" w:rsidR="007F0BFA" w:rsidRPr="006E3596" w:rsidRDefault="006F5194" w:rsidP="00556CB7">
      <w:pPr>
        <w:pStyle w:val="KUsmlouva-4rove"/>
        <w:numPr>
          <w:ilvl w:val="3"/>
          <w:numId w:val="13"/>
        </w:numPr>
        <w:contextualSpacing/>
      </w:pPr>
      <w:r w:rsidRPr="006E3596">
        <w:t xml:space="preserve">osvědčení a další doklady, které bude objednatel požadovat po zhotoviteli k vydání kolaudačního </w:t>
      </w:r>
      <w:r w:rsidR="00EB663A">
        <w:t>rozhodnutí</w:t>
      </w:r>
      <w:r w:rsidR="00EB663A" w:rsidRPr="006E3596">
        <w:t xml:space="preserve"> </w:t>
      </w:r>
      <w:r w:rsidRPr="006E3596">
        <w:t>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 užívání díla</w:t>
      </w:r>
      <w:r w:rsidR="00E228AA">
        <w:t>,</w:t>
      </w:r>
      <w:r w:rsidRPr="006E3596">
        <w:t xml:space="preserve"> </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5BEF81DF" w:rsidR="00F020D3" w:rsidRPr="00DA1759" w:rsidRDefault="006F5194" w:rsidP="001C2664">
      <w:pPr>
        <w:pStyle w:val="KUsmlouva-2rove"/>
        <w:numPr>
          <w:ilvl w:val="1"/>
          <w:numId w:val="13"/>
        </w:numPr>
        <w:spacing w:after="0"/>
        <w:ind w:left="567" w:hanging="567"/>
        <w:contextualSpacing/>
        <w:rPr>
          <w:b/>
          <w:szCs w:val="22"/>
        </w:rPr>
      </w:pPr>
      <w:bookmarkStart w:id="18"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r w:rsidR="0085108C" w:rsidRPr="00B9227C">
        <w:rPr>
          <w:b/>
          <w:szCs w:val="22"/>
        </w:rPr>
        <w:t>2 000 000</w:t>
      </w:r>
      <w:r w:rsidR="0085108C" w:rsidRPr="00DA1759">
        <w:rPr>
          <w:b/>
          <w:szCs w:val="22"/>
        </w:rPr>
        <w:t xml:space="preserve">- </w:t>
      </w:r>
      <w:r w:rsidRPr="00DA1759">
        <w:rPr>
          <w:b/>
          <w:szCs w:val="22"/>
        </w:rPr>
        <w:t>Kč.</w:t>
      </w:r>
      <w:r w:rsidRPr="00DA1759">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8"/>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19" w:name="_Ref320796570"/>
      <w:bookmarkStart w:id="20"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19"/>
      <w:r w:rsidRPr="0014222D">
        <w:rPr>
          <w:b/>
          <w:szCs w:val="22"/>
        </w:rPr>
        <w:t xml:space="preserve"> </w:t>
      </w:r>
      <w:r w:rsidRPr="0014222D">
        <w:rPr>
          <w:szCs w:val="22"/>
        </w:rPr>
        <w:t>Záruční doba neběží po dobu, po kterou nemůže objednatel dílo užívat pro vady, za které odpovídá zhotovitel.</w:t>
      </w:r>
      <w:bookmarkEnd w:id="20"/>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77777777" w:rsidR="00981DED" w:rsidRPr="00981DE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400FBC3F"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1" w:name="_Hlk222299494"/>
      <w:r w:rsidR="007261A2">
        <w:rPr>
          <w:szCs w:val="22"/>
        </w:rPr>
        <w:t xml:space="preserve">nebo nesprávnost projektové dokumentace </w:t>
      </w:r>
      <w:bookmarkEnd w:id="21"/>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xml:space="preserve">, nebo jestliže </w:t>
      </w:r>
      <w:r w:rsidR="007261A2">
        <w:rPr>
          <w:szCs w:val="22"/>
        </w:rPr>
        <w:lastRenderedPageBreak/>
        <w:t>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2" w:name="_Ref372283607"/>
      <w:r w:rsidRPr="003675A6">
        <w:rPr>
          <w:rFonts w:cs="Arial"/>
          <w:sz w:val="28"/>
        </w:rPr>
        <w:t>SMLUVNÍ SANKCE</w:t>
      </w:r>
      <w:bookmarkEnd w:id="22"/>
    </w:p>
    <w:p w14:paraId="3CBD4AC8" w14:textId="46B7659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bookmarkStart w:id="23" w:name="_Hlk222295239"/>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3"/>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02AE51C"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08FBC68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E7373A">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2FE27AE3"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8B4C91">
      <w:pPr>
        <w:pStyle w:val="KUsmlouva-2rove"/>
        <w:numPr>
          <w:ilvl w:val="1"/>
          <w:numId w:val="13"/>
        </w:numPr>
        <w:spacing w:after="0"/>
        <w:ind w:left="709" w:hanging="709"/>
        <w:contextualSpacing/>
        <w:rPr>
          <w:b/>
          <w:bCs/>
        </w:rPr>
      </w:pPr>
      <w:bookmarkStart w:id="24" w:name="_Ref319912830"/>
      <w:bookmarkStart w:id="25"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4"/>
      <w:r w:rsidRPr="008B4C91">
        <w:t>;</w:t>
      </w:r>
      <w:bookmarkEnd w:id="25"/>
    </w:p>
    <w:p w14:paraId="2A686D65" w14:textId="18AE1BD4" w:rsidR="007C58D9" w:rsidRPr="008B4C91" w:rsidRDefault="007C58D9" w:rsidP="008B4C91">
      <w:pPr>
        <w:pStyle w:val="KUsmlouva-2rove"/>
        <w:numPr>
          <w:ilvl w:val="1"/>
          <w:numId w:val="13"/>
        </w:numPr>
        <w:spacing w:after="0"/>
        <w:ind w:left="709" w:hanging="709"/>
        <w:contextualSpacing/>
        <w:rPr>
          <w:b/>
          <w:bCs/>
        </w:rPr>
      </w:pPr>
      <w:r>
        <w:rPr>
          <w:szCs w:val="22"/>
        </w:rPr>
        <w:t xml:space="preserve">zhotovitel zaplatí objednateli smluvní pokutu, pokud nesplní povinnosti týkající se přechodného dopravního značení dle bodu 3.6.5. této smlouvy, a to </w:t>
      </w:r>
      <w:r w:rsidRPr="005F1749">
        <w:rPr>
          <w:b/>
          <w:szCs w:val="22"/>
        </w:rPr>
        <w:t>ve výši 10.000,- Kč</w:t>
      </w:r>
      <w:r>
        <w:rPr>
          <w:szCs w:val="22"/>
        </w:rPr>
        <w:t xml:space="preserve"> za každé jednotlivé porušení </w:t>
      </w:r>
      <w:r w:rsidR="001F51DD">
        <w:rPr>
          <w:szCs w:val="22"/>
        </w:rPr>
        <w:t xml:space="preserve">těchto </w:t>
      </w:r>
      <w:r>
        <w:rPr>
          <w:szCs w:val="22"/>
        </w:rPr>
        <w:t>povinnost</w:t>
      </w:r>
      <w:r w:rsidR="001F51DD">
        <w:rPr>
          <w:szCs w:val="22"/>
        </w:rPr>
        <w:t>í;</w:t>
      </w:r>
    </w:p>
    <w:p w14:paraId="039D97DF" w14:textId="37C9E8E0"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D266BB" w:rsidRPr="005F6146">
        <w:t>čl</w:t>
      </w:r>
      <w:r w:rsidRPr="005F6146">
        <w:t xml:space="preserve">. </w:t>
      </w:r>
      <w:r w:rsidRPr="005F6146">
        <w:fldChar w:fldCharType="begin"/>
      </w:r>
      <w:r w:rsidRPr="005F6146">
        <w:instrText xml:space="preserve"> REF _Ref356221692 \r \h  \* MERGEFORMAT </w:instrText>
      </w:r>
      <w:r w:rsidRPr="005F6146">
        <w:fldChar w:fldCharType="separate"/>
      </w:r>
      <w:r w:rsidR="00EC700F" w:rsidRPr="005F6146">
        <w:t>9.5</w:t>
      </w:r>
      <w:r w:rsidRPr="005F6146">
        <w:fldChar w:fldCharType="end"/>
      </w:r>
      <w:r w:rsidR="00E727C0" w:rsidRPr="005F6146">
        <w:t>.</w:t>
      </w:r>
      <w:r w:rsidRPr="005F6146">
        <w:t xml:space="preserve"> této smlouvy, a to</w:t>
      </w:r>
      <w:r w:rsidR="00003EF8" w:rsidRPr="005F6146">
        <w:t xml:space="preserve"> </w:t>
      </w:r>
      <w:r w:rsidRPr="005F6146">
        <w:rPr>
          <w:b/>
        </w:rPr>
        <w:t>ve výši </w:t>
      </w:r>
      <w:r w:rsidR="005F1749">
        <w:rPr>
          <w:b/>
        </w:rPr>
        <w:t>1</w:t>
      </w:r>
      <w:r w:rsidR="00DF188A" w:rsidRPr="005F6146">
        <w:rPr>
          <w:b/>
        </w:rPr>
        <w:t>.000</w:t>
      </w:r>
      <w:r w:rsidRPr="005F6146">
        <w:rPr>
          <w:b/>
        </w:rPr>
        <w:t>,- Kč</w:t>
      </w:r>
      <w:r w:rsidRPr="005F6146">
        <w:t xml:space="preserve"> za každý jednotlivý případ;</w:t>
      </w:r>
    </w:p>
    <w:p w14:paraId="4FD80B65" w14:textId="25770A6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57F7A713"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5F1749">
        <w:rPr>
          <w:b/>
          <w:bCs/>
        </w:rPr>
        <w:t>1</w:t>
      </w:r>
      <w:r w:rsidR="00DF188A" w:rsidRPr="00DF188A">
        <w:rPr>
          <w:b/>
          <w:bCs/>
        </w:rPr>
        <w:t>.000</w:t>
      </w:r>
      <w:r w:rsidRPr="00DF188A">
        <w:rPr>
          <w:b/>
          <w:bCs/>
        </w:rPr>
        <w:t>,- Kč</w:t>
      </w:r>
      <w:r w:rsidRPr="008B4C91">
        <w:t xml:space="preserve"> za každý jednotlivý případ;</w:t>
      </w:r>
    </w:p>
    <w:p w14:paraId="029894E4" w14:textId="52D16B9A"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5F1749">
        <w:rPr>
          <w:b/>
          <w:bCs/>
        </w:rPr>
        <w:t>1</w:t>
      </w:r>
      <w:r w:rsidR="00DF188A" w:rsidRPr="0089511F">
        <w:rPr>
          <w:b/>
          <w:bCs/>
        </w:rPr>
        <w:t>.000</w:t>
      </w:r>
      <w:r w:rsidRPr="0089511F">
        <w:rPr>
          <w:b/>
          <w:bCs/>
        </w:rPr>
        <w:t>,-</w:t>
      </w:r>
      <w:r w:rsidRPr="0089511F">
        <w:t xml:space="preserve"> Kč</w:t>
      </w:r>
      <w:r w:rsidRPr="008B4C91">
        <w:t xml:space="preserve"> za každý den prodlení;</w:t>
      </w:r>
    </w:p>
    <w:p w14:paraId="4AF4475F" w14:textId="00E307F7"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harmonogramu </w:t>
      </w:r>
      <w:r w:rsidR="0032343C">
        <w:t xml:space="preserve">stavby </w:t>
      </w:r>
      <w:r w:rsidR="000915D8">
        <w:t xml:space="preserve">dle </w:t>
      </w:r>
      <w:r w:rsidR="00D266BB">
        <w:t>čl</w:t>
      </w:r>
      <w:r w:rsidR="000915D8">
        <w:t>.</w:t>
      </w:r>
      <w:r w:rsidR="00E7373A">
        <w:t xml:space="preserve"> </w:t>
      </w:r>
      <w:r w:rsidR="0032343C">
        <w:t>5.6.1.</w:t>
      </w:r>
      <w:r w:rsidR="005F1749">
        <w:t xml:space="preserve"> </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lastRenderedPageBreak/>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410DB9F2"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lastRenderedPageBreak/>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6" w:name="_Ref319914761"/>
      <w:bookmarkStart w:id="27" w:name="_Ref164158405"/>
      <w:r w:rsidRPr="009627D7">
        <w:rPr>
          <w:rFonts w:cs="Arial"/>
          <w:sz w:val="28"/>
        </w:rPr>
        <w:t>SPORY</w:t>
      </w:r>
      <w:bookmarkEnd w:id="26"/>
      <w:bookmarkEnd w:id="27"/>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28" w:name="_Hlk222299638"/>
      <w:r w:rsidR="00645A45" w:rsidRPr="009627D7">
        <w:t>Smluvní strany nejsou odpovědné za prodlení (tj. nehradí sankce, škody atd.) v případě, že prodlení je způsobeno v důsledku vyšší moci.</w:t>
      </w:r>
      <w:bookmarkEnd w:id="28"/>
    </w:p>
    <w:p w14:paraId="627D1359" w14:textId="77777777" w:rsidR="00650BEA" w:rsidRPr="00BD14CD" w:rsidRDefault="00650BEA" w:rsidP="00650BEA">
      <w:pPr>
        <w:pStyle w:val="KUsmlouva-2rove"/>
        <w:numPr>
          <w:ilvl w:val="0"/>
          <w:numId w:val="0"/>
        </w:numPr>
        <w:spacing w:after="0"/>
        <w:ind w:left="567"/>
        <w:contextualSpacing/>
      </w:pPr>
    </w:p>
    <w:p w14:paraId="2610CD24" w14:textId="77777777" w:rsidR="00650BEA" w:rsidRPr="00BD14CD" w:rsidRDefault="00650BEA" w:rsidP="00650BEA">
      <w:pPr>
        <w:pStyle w:val="KUsmlouva-2rove"/>
        <w:numPr>
          <w:ilvl w:val="0"/>
          <w:numId w:val="0"/>
        </w:numPr>
        <w:spacing w:after="0"/>
        <w:ind w:left="567"/>
        <w:contextualSpacing/>
        <w:rPr>
          <w:b/>
        </w:rPr>
      </w:pPr>
      <w:bookmarkStart w:id="29" w:name="_Ref58928459"/>
    </w:p>
    <w:bookmarkEnd w:id="29"/>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4074002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30" w:name="_Toc527338719"/>
      <w:r w:rsidRPr="003124A1">
        <w:rPr>
          <w:szCs w:val="22"/>
        </w:rPr>
        <w:t>Dnem podpisu této smlouvy pozbývají platnosti všechna předchozí písemná i ústní ujednání smluvních stran vztahující se k dílu.</w:t>
      </w:r>
      <w:bookmarkEnd w:id="30"/>
    </w:p>
    <w:p w14:paraId="6381EF0E"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650BEA">
      <w:pPr>
        <w:pStyle w:val="KUsmlouva-2rove"/>
        <w:numPr>
          <w:ilvl w:val="1"/>
          <w:numId w:val="13"/>
        </w:numPr>
        <w:spacing w:after="0"/>
        <w:ind w:left="709" w:hanging="709"/>
        <w:contextualSpacing/>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E149DB"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DE3A05">
        <w:rPr>
          <w:rFonts w:ascii="Arial" w:hAnsi="Arial" w:cs="Arial"/>
          <w:szCs w:val="22"/>
          <w:highlight w:val="lightGray"/>
        </w:rPr>
        <w:t>6</w:t>
      </w:r>
      <w:r w:rsidRPr="001E0299">
        <w:rPr>
          <w:rFonts w:ascii="Arial" w:hAnsi="Arial" w:cs="Arial"/>
          <w:szCs w:val="22"/>
        </w:rPr>
        <w:t xml:space="preserve">, pod číslem usnesení </w:t>
      </w:r>
      <w:r w:rsidRPr="00CB0925">
        <w:rPr>
          <w:rFonts w:ascii="Arial" w:hAnsi="Arial" w:cs="Arial"/>
          <w:szCs w:val="22"/>
          <w:highlight w:val="lightGray"/>
        </w:rPr>
        <w:t>………………</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67114FB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537F5679" w14:textId="77777777" w:rsidR="00B55DF9" w:rsidRPr="00C673CD" w:rsidRDefault="00B55DF9" w:rsidP="00654D89">
      <w:pPr>
        <w:spacing w:before="120"/>
        <w:contextualSpacing/>
        <w:rPr>
          <w:rFonts w:ascii="Arial" w:hAnsi="Arial" w:cs="Arial"/>
          <w:szCs w:val="22"/>
        </w:rPr>
      </w:pPr>
    </w:p>
    <w:p w14:paraId="572532E7" w14:textId="77777777" w:rsidR="00B55DF9" w:rsidRDefault="00B55DF9" w:rsidP="00654D89">
      <w:pPr>
        <w:spacing w:before="120"/>
        <w:contextualSpacing/>
        <w:rPr>
          <w:rFonts w:ascii="Arial" w:hAnsi="Arial" w:cs="Arial"/>
          <w:szCs w:val="22"/>
        </w:rPr>
      </w:pPr>
    </w:p>
    <w:p w14:paraId="491EA4AE" w14:textId="77777777" w:rsidR="006652C7" w:rsidRPr="00C673CD" w:rsidRDefault="006652C7"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10"/>
      <w:footerReference w:type="default" r:id="rId11"/>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575B7" w14:textId="77777777" w:rsidR="00596EB0" w:rsidRDefault="00596EB0">
      <w:r>
        <w:separator/>
      </w:r>
    </w:p>
  </w:endnote>
  <w:endnote w:type="continuationSeparator" w:id="0">
    <w:p w14:paraId="4DDDE410" w14:textId="77777777" w:rsidR="00596EB0" w:rsidRDefault="00596EB0">
      <w:r>
        <w:continuationSeparator/>
      </w:r>
    </w:p>
  </w:endnote>
  <w:endnote w:type="continuationNotice" w:id="1">
    <w:p w14:paraId="4353A250" w14:textId="77777777" w:rsidR="00596EB0" w:rsidRDefault="0059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E5D7" w14:textId="425943B6" w:rsidR="001D1406" w:rsidRPr="003A41D1" w:rsidRDefault="001D1406" w:rsidP="0016705E">
    <w:pPr>
      <w:pStyle w:val="Zpat"/>
      <w:tabs>
        <w:tab w:val="right" w:pos="9356"/>
      </w:tabs>
      <w:rPr>
        <w:rFonts w:ascii="Arial" w:hAnsi="Arial" w:cs="Arial"/>
        <w:sz w:val="16"/>
        <w:szCs w:val="18"/>
      </w:rPr>
    </w:pPr>
    <w:r w:rsidRPr="00D71AD8">
      <w:rPr>
        <w:rFonts w:ascii="Arial" w:hAnsi="Arial" w:cs="Arial"/>
        <w:sz w:val="16"/>
        <w:szCs w:val="16"/>
      </w:rPr>
      <w:t xml:space="preserve"> Udržovací práce-</w:t>
    </w:r>
    <w:r w:rsidR="00FD089A">
      <w:rPr>
        <w:rFonts w:ascii="Arial" w:hAnsi="Arial" w:cs="Arial"/>
        <w:sz w:val="16"/>
        <w:szCs w:val="16"/>
      </w:rPr>
      <w:t>j</w:t>
    </w:r>
    <w:r w:rsidRPr="00D71AD8">
      <w:rPr>
        <w:rFonts w:ascii="Arial" w:hAnsi="Arial" w:cs="Arial"/>
        <w:sz w:val="16"/>
        <w:szCs w:val="16"/>
      </w:rPr>
      <w:t>ídelna ZŠ Slovan</w:t>
    </w:r>
    <w:r w:rsidR="0016705E">
      <w:rPr>
        <w:rFonts w:ascii="Arial" w:hAnsi="Arial" w:cs="Arial"/>
        <w:sz w:val="16"/>
        <w:szCs w:val="16"/>
      </w:rPr>
      <w:t xml:space="preserve"> Zeyerova 3354, Kroměříž</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8A5D" w14:textId="77777777" w:rsidR="00596EB0" w:rsidRDefault="00596EB0">
      <w:r>
        <w:separator/>
      </w:r>
    </w:p>
  </w:footnote>
  <w:footnote w:type="continuationSeparator" w:id="0">
    <w:p w14:paraId="14FEC31D" w14:textId="77777777" w:rsidR="00596EB0" w:rsidRDefault="00596EB0">
      <w:r>
        <w:continuationSeparator/>
      </w:r>
    </w:p>
  </w:footnote>
  <w:footnote w:type="continuationNotice" w:id="1">
    <w:p w14:paraId="0812EF9C" w14:textId="77777777" w:rsidR="00596EB0" w:rsidRDefault="00596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66F" w14:textId="44C06B3D" w:rsidR="001D1406" w:rsidRPr="00EA0177" w:rsidRDefault="001D1406"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7"/>
  </w:num>
  <w:num w:numId="6">
    <w:abstractNumId w:val="16"/>
  </w:num>
  <w:num w:numId="7">
    <w:abstractNumId w:val="20"/>
  </w:num>
  <w:num w:numId="8">
    <w:abstractNumId w:val="9"/>
  </w:num>
  <w:num w:numId="9">
    <w:abstractNumId w:val="10"/>
  </w:num>
  <w:num w:numId="10">
    <w:abstractNumId w:val="21"/>
  </w:num>
  <w:num w:numId="11">
    <w:abstractNumId w:val="19"/>
  </w:num>
  <w:num w:numId="12">
    <w:abstractNumId w:val="22"/>
  </w:num>
  <w:num w:numId="13">
    <w:abstractNumId w:val="24"/>
  </w:num>
  <w:num w:numId="14">
    <w:abstractNumId w:val="14"/>
  </w:num>
  <w:num w:numId="15">
    <w:abstractNumId w:val="7"/>
  </w:num>
  <w:num w:numId="16">
    <w:abstractNumId w:val="13"/>
  </w:num>
  <w:num w:numId="17">
    <w:abstractNumId w:val="12"/>
  </w:num>
  <w:num w:numId="18">
    <w:abstractNumId w:val="18"/>
  </w:num>
  <w:num w:numId="19">
    <w:abstractNumId w:val="16"/>
  </w:num>
  <w:num w:numId="20">
    <w:abstractNumId w:val="16"/>
  </w:num>
  <w:num w:numId="21">
    <w:abstractNumId w:val="17"/>
  </w:num>
  <w:num w:numId="22">
    <w:abstractNumId w:val="16"/>
  </w:num>
  <w:num w:numId="23">
    <w:abstractNumId w:val="23"/>
  </w:num>
  <w:num w:numId="24">
    <w:abstractNumId w:val="16"/>
  </w:num>
  <w:num w:numId="25">
    <w:abstractNumId w:val="16"/>
  </w:num>
  <w:num w:numId="26">
    <w:abstractNumId w:val="4"/>
  </w:num>
  <w:num w:numId="27">
    <w:abstractNumId w:val="6"/>
  </w:num>
  <w:num w:numId="28">
    <w:abstractNumId w:val="8"/>
  </w:num>
  <w:num w:numId="29">
    <w:abstractNumId w:val="25"/>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6445"/>
    <w:rsid w:val="00036502"/>
    <w:rsid w:val="00036C59"/>
    <w:rsid w:val="00036E60"/>
    <w:rsid w:val="0003700A"/>
    <w:rsid w:val="000376A2"/>
    <w:rsid w:val="00037C23"/>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4800"/>
    <w:rsid w:val="0007561D"/>
    <w:rsid w:val="00075687"/>
    <w:rsid w:val="00080482"/>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3A44"/>
    <w:rsid w:val="000C47EC"/>
    <w:rsid w:val="000C5A16"/>
    <w:rsid w:val="000C6357"/>
    <w:rsid w:val="000C693D"/>
    <w:rsid w:val="000C6A06"/>
    <w:rsid w:val="000C7066"/>
    <w:rsid w:val="000D0DF4"/>
    <w:rsid w:val="000D2422"/>
    <w:rsid w:val="000D4F42"/>
    <w:rsid w:val="000D6BBF"/>
    <w:rsid w:val="000D7077"/>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703B"/>
    <w:rsid w:val="001276E0"/>
    <w:rsid w:val="001310A1"/>
    <w:rsid w:val="00131A3B"/>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3501"/>
    <w:rsid w:val="001656AD"/>
    <w:rsid w:val="00165CFE"/>
    <w:rsid w:val="001660EE"/>
    <w:rsid w:val="0016672E"/>
    <w:rsid w:val="0016692D"/>
    <w:rsid w:val="0016705E"/>
    <w:rsid w:val="00167D95"/>
    <w:rsid w:val="00170E7E"/>
    <w:rsid w:val="00172CA4"/>
    <w:rsid w:val="00173E91"/>
    <w:rsid w:val="00174B86"/>
    <w:rsid w:val="00174B8E"/>
    <w:rsid w:val="00180B3B"/>
    <w:rsid w:val="00181A1E"/>
    <w:rsid w:val="00182639"/>
    <w:rsid w:val="00183B61"/>
    <w:rsid w:val="0018735A"/>
    <w:rsid w:val="001876EB"/>
    <w:rsid w:val="00187A22"/>
    <w:rsid w:val="00190A82"/>
    <w:rsid w:val="00190FFD"/>
    <w:rsid w:val="0019402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3F86"/>
    <w:rsid w:val="001C4680"/>
    <w:rsid w:val="001C4A6F"/>
    <w:rsid w:val="001C50CF"/>
    <w:rsid w:val="001C7897"/>
    <w:rsid w:val="001D1406"/>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273B"/>
    <w:rsid w:val="00255B61"/>
    <w:rsid w:val="00256296"/>
    <w:rsid w:val="0026043B"/>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4F29"/>
    <w:rsid w:val="002E5FBE"/>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3E7D"/>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A5D"/>
    <w:rsid w:val="00421AAD"/>
    <w:rsid w:val="00422A38"/>
    <w:rsid w:val="00430596"/>
    <w:rsid w:val="00430BBF"/>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22A6"/>
    <w:rsid w:val="00492B76"/>
    <w:rsid w:val="00492E06"/>
    <w:rsid w:val="004938A3"/>
    <w:rsid w:val="00493EE9"/>
    <w:rsid w:val="00495002"/>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D5C"/>
    <w:rsid w:val="00585F68"/>
    <w:rsid w:val="00594538"/>
    <w:rsid w:val="00595394"/>
    <w:rsid w:val="00595A2E"/>
    <w:rsid w:val="00596EB0"/>
    <w:rsid w:val="00597DC9"/>
    <w:rsid w:val="005A153B"/>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B6E78"/>
    <w:rsid w:val="005C3640"/>
    <w:rsid w:val="005C41A7"/>
    <w:rsid w:val="005C41FA"/>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92A"/>
    <w:rsid w:val="00601611"/>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40E3"/>
    <w:rsid w:val="00745EBA"/>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39C5"/>
    <w:rsid w:val="00793F81"/>
    <w:rsid w:val="007A0B04"/>
    <w:rsid w:val="007A2243"/>
    <w:rsid w:val="007A30AD"/>
    <w:rsid w:val="007A38D0"/>
    <w:rsid w:val="007A5714"/>
    <w:rsid w:val="007A7AD7"/>
    <w:rsid w:val="007B00F1"/>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C58D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D40"/>
    <w:rsid w:val="00807619"/>
    <w:rsid w:val="00807B2C"/>
    <w:rsid w:val="008112A0"/>
    <w:rsid w:val="0081198D"/>
    <w:rsid w:val="00812A90"/>
    <w:rsid w:val="008154A3"/>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A54"/>
    <w:rsid w:val="008450CE"/>
    <w:rsid w:val="00845133"/>
    <w:rsid w:val="0084591F"/>
    <w:rsid w:val="0085108C"/>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32C7"/>
    <w:rsid w:val="008A5090"/>
    <w:rsid w:val="008A5493"/>
    <w:rsid w:val="008A7F01"/>
    <w:rsid w:val="008B0D3C"/>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A2C"/>
    <w:rsid w:val="00945FA9"/>
    <w:rsid w:val="00946519"/>
    <w:rsid w:val="009502DC"/>
    <w:rsid w:val="00950A53"/>
    <w:rsid w:val="00950F57"/>
    <w:rsid w:val="009538B7"/>
    <w:rsid w:val="00961C13"/>
    <w:rsid w:val="0096265D"/>
    <w:rsid w:val="009627D7"/>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0C7"/>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761C"/>
    <w:rsid w:val="00AA78A1"/>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27C"/>
    <w:rsid w:val="00B92CA9"/>
    <w:rsid w:val="00B937AD"/>
    <w:rsid w:val="00B9396A"/>
    <w:rsid w:val="00B947D4"/>
    <w:rsid w:val="00B954CE"/>
    <w:rsid w:val="00B96942"/>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6916"/>
    <w:rsid w:val="00BC719F"/>
    <w:rsid w:val="00BD04F7"/>
    <w:rsid w:val="00BD0633"/>
    <w:rsid w:val="00BD14CD"/>
    <w:rsid w:val="00BD7DE3"/>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1769"/>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5641"/>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1AD8"/>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43ED"/>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73B1"/>
    <w:rsid w:val="00DD0228"/>
    <w:rsid w:val="00DD0934"/>
    <w:rsid w:val="00DD19D3"/>
    <w:rsid w:val="00DD27CF"/>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2B6E"/>
    <w:rsid w:val="00E35008"/>
    <w:rsid w:val="00E35144"/>
    <w:rsid w:val="00E36709"/>
    <w:rsid w:val="00E371B0"/>
    <w:rsid w:val="00E40F67"/>
    <w:rsid w:val="00E41D1E"/>
    <w:rsid w:val="00E42F96"/>
    <w:rsid w:val="00E44403"/>
    <w:rsid w:val="00E50145"/>
    <w:rsid w:val="00E5117C"/>
    <w:rsid w:val="00E51CF2"/>
    <w:rsid w:val="00E550BC"/>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5C38"/>
    <w:rsid w:val="00E760A7"/>
    <w:rsid w:val="00E7673A"/>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59E8"/>
    <w:rsid w:val="00EA622B"/>
    <w:rsid w:val="00EA6FF0"/>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C725D"/>
    <w:rsid w:val="00FD089A"/>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 w:val="00FF6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pajgr@mesto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BFAE-D05E-4095-BE23-76D6A09C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10388</Words>
  <Characters>61647</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71892</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Pajgr Jaroslav</cp:lastModifiedBy>
  <cp:revision>5</cp:revision>
  <cp:lastPrinted>2024-05-07T09:34:00Z</cp:lastPrinted>
  <dcterms:created xsi:type="dcterms:W3CDTF">2026-02-27T06:39:00Z</dcterms:created>
  <dcterms:modified xsi:type="dcterms:W3CDTF">2026-03-02T07:17:00Z</dcterms:modified>
</cp:coreProperties>
</file>